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3E10EB" w14:textId="77777777" w:rsidR="00C27437" w:rsidRDefault="001549AB">
      <w:pPr>
        <w:pStyle w:val="instruct"/>
        <w:spacing w:before="0"/>
        <w:rPr>
          <w:rFonts w:asciiTheme="minorHAnsi" w:hAnsiTheme="minorHAnsi" w:cstheme="minorHAnsi"/>
          <w:b/>
          <w:bCs/>
          <w:i w:val="0"/>
          <w:iCs w:val="0"/>
          <w:color w:val="333333"/>
          <w:sz w:val="24"/>
          <w:szCs w:val="24"/>
          <w:lang w:eastAsia="en-US"/>
        </w:rPr>
      </w:pPr>
      <w:bookmarkStart w:id="0" w:name="_Hlk92361680"/>
      <w:r>
        <w:rPr>
          <w:rFonts w:asciiTheme="minorHAnsi" w:hAnsiTheme="minorHAnsi" w:cstheme="minorHAnsi"/>
          <w:b/>
          <w:bCs/>
          <w:i w:val="0"/>
          <w:iCs w:val="0"/>
          <w:color w:val="333333"/>
          <w:sz w:val="24"/>
          <w:szCs w:val="24"/>
          <w:lang w:eastAsia="en-US"/>
        </w:rPr>
        <w:t xml:space="preserve">                                                                                                                                                      </w:t>
      </w:r>
    </w:p>
    <w:p w14:paraId="181C0DDF" w14:textId="77777777" w:rsidR="00C27437" w:rsidRDefault="00C27437">
      <w:pPr>
        <w:pStyle w:val="instruct"/>
        <w:spacing w:before="120"/>
        <w:ind w:left="357"/>
        <w:jc w:val="center"/>
        <w:rPr>
          <w:rFonts w:asciiTheme="minorHAnsi" w:hAnsiTheme="minorHAnsi" w:cstheme="minorHAnsi"/>
          <w:b/>
          <w:bCs/>
          <w:i w:val="0"/>
          <w:iCs w:val="0"/>
          <w:sz w:val="24"/>
          <w:szCs w:val="24"/>
          <w:lang w:eastAsia="en-US"/>
        </w:rPr>
      </w:pPr>
    </w:p>
    <w:bookmarkEnd w:id="0"/>
    <w:p w14:paraId="074CD94A" w14:textId="77777777" w:rsidR="00C27437" w:rsidRDefault="001549AB">
      <w:pPr>
        <w:jc w:val="center"/>
        <w:rPr>
          <w:rFonts w:asciiTheme="minorHAnsi" w:hAnsiTheme="minorHAnsi" w:cstheme="minorHAnsi"/>
          <w:b/>
          <w:bCs/>
          <w:sz w:val="24"/>
        </w:rPr>
      </w:pPr>
      <w:r>
        <w:rPr>
          <w:rFonts w:asciiTheme="minorHAnsi" w:hAnsiTheme="minorHAnsi" w:cstheme="minorHAnsi"/>
          <w:b/>
          <w:bCs/>
          <w:sz w:val="24"/>
        </w:rPr>
        <w:t xml:space="preserve">Declarația privind respectarea aplicării principiului DNSH în implementarea proiectului </w:t>
      </w:r>
    </w:p>
    <w:p w14:paraId="2A38A4FB" w14:textId="41FED00E" w:rsidR="00C27437" w:rsidRDefault="001549AB">
      <w:pPr>
        <w:jc w:val="center"/>
        <w:rPr>
          <w:rFonts w:asciiTheme="minorHAnsi" w:hAnsiTheme="minorHAnsi" w:cstheme="minorHAnsi"/>
          <w:b/>
          <w:bCs/>
          <w:sz w:val="24"/>
        </w:rPr>
      </w:pPr>
      <w:r>
        <w:rPr>
          <w:rFonts w:asciiTheme="minorHAnsi" w:hAnsiTheme="minorHAnsi" w:cstheme="minorHAnsi"/>
          <w:b/>
          <w:bCs/>
          <w:sz w:val="24"/>
        </w:rPr>
        <w:t>pentru Solicitant individual/</w:t>
      </w:r>
      <w:r w:rsidR="00786E75">
        <w:rPr>
          <w:rFonts w:asciiTheme="minorHAnsi" w:hAnsiTheme="minorHAnsi" w:cstheme="minorHAnsi"/>
          <w:b/>
          <w:bCs/>
          <w:sz w:val="24"/>
        </w:rPr>
        <w:t>Parteneriat</w:t>
      </w:r>
    </w:p>
    <w:p w14:paraId="5A1DF465" w14:textId="77777777" w:rsidR="00C27437" w:rsidRDefault="00C27437">
      <w:pPr>
        <w:jc w:val="both"/>
        <w:rPr>
          <w:rFonts w:asciiTheme="minorHAnsi" w:hAnsiTheme="minorHAnsi" w:cstheme="minorHAnsi"/>
          <w:sz w:val="24"/>
        </w:rPr>
      </w:pPr>
    </w:p>
    <w:p w14:paraId="4A359DE8" w14:textId="77777777" w:rsidR="00C27437" w:rsidRDefault="001549AB">
      <w:pPr>
        <w:jc w:val="both"/>
        <w:rPr>
          <w:rFonts w:asciiTheme="minorHAnsi" w:hAnsiTheme="minorHAnsi" w:cstheme="minorHAnsi"/>
          <w:snapToGrid w:val="0"/>
          <w:sz w:val="24"/>
        </w:rPr>
      </w:pPr>
      <w:r>
        <w:rPr>
          <w:rFonts w:asciiTheme="minorHAnsi" w:hAnsiTheme="minorHAnsi" w:cstheme="minorHAnsi"/>
          <w:sz w:val="24"/>
        </w:rPr>
        <w:t xml:space="preserve">Subsemnatul </w:t>
      </w:r>
      <w:r>
        <w:rPr>
          <w:rFonts w:asciiTheme="minorHAnsi" w:hAnsiTheme="minorHAnsi" w:cstheme="minorHAnsi"/>
          <w:i/>
          <w:iCs/>
          <w:sz w:val="24"/>
          <w:lang w:eastAsia="sk-SK"/>
        </w:rPr>
        <w:t>... , CNP....................,</w:t>
      </w:r>
      <w:r>
        <w:rPr>
          <w:rFonts w:asciiTheme="minorHAnsi" w:hAnsiTheme="minorHAnsi" w:cstheme="minorHAnsi"/>
          <w:sz w:val="24"/>
        </w:rPr>
        <w:t xml:space="preserve">posesor al CI seria </w:t>
      </w:r>
      <w:r>
        <w:rPr>
          <w:rFonts w:asciiTheme="minorHAnsi" w:hAnsiTheme="minorHAnsi" w:cstheme="minorHAnsi"/>
          <w:i/>
          <w:iCs/>
          <w:sz w:val="24"/>
          <w:lang w:eastAsia="sk-SK"/>
        </w:rPr>
        <w:t>...</w:t>
      </w:r>
      <w:r>
        <w:rPr>
          <w:rFonts w:asciiTheme="minorHAnsi" w:hAnsiTheme="minorHAnsi" w:cstheme="minorHAnsi"/>
          <w:sz w:val="24"/>
        </w:rPr>
        <w:t xml:space="preserve"> nr. </w:t>
      </w:r>
      <w:r>
        <w:rPr>
          <w:rFonts w:asciiTheme="minorHAnsi" w:hAnsiTheme="minorHAnsi" w:cstheme="minorHAnsi"/>
          <w:i/>
          <w:iCs/>
          <w:sz w:val="24"/>
          <w:lang w:eastAsia="sk-SK"/>
        </w:rPr>
        <w:t>...</w:t>
      </w:r>
      <w:r>
        <w:rPr>
          <w:rFonts w:asciiTheme="minorHAnsi" w:hAnsiTheme="minorHAnsi" w:cstheme="minorHAnsi"/>
          <w:sz w:val="24"/>
        </w:rPr>
        <w:t xml:space="preserve">, eliberată de </w:t>
      </w:r>
      <w:r>
        <w:rPr>
          <w:rFonts w:asciiTheme="minorHAnsi" w:hAnsiTheme="minorHAnsi" w:cstheme="minorHAnsi"/>
          <w:i/>
          <w:iCs/>
          <w:sz w:val="24"/>
          <w:lang w:eastAsia="sk-SK"/>
        </w:rPr>
        <w:t>...</w:t>
      </w:r>
      <w:r>
        <w:rPr>
          <w:rFonts w:asciiTheme="minorHAnsi" w:hAnsiTheme="minorHAnsi" w:cstheme="minorHAnsi"/>
          <w:sz w:val="24"/>
        </w:rPr>
        <w:t xml:space="preserve">,  în calitate de </w:t>
      </w:r>
      <w:r>
        <w:rPr>
          <w:rFonts w:asciiTheme="minorHAnsi" w:hAnsiTheme="minorHAnsi" w:cstheme="minorHAnsi"/>
          <w:i/>
          <w:iCs/>
          <w:sz w:val="24"/>
          <w:lang w:eastAsia="sk-SK"/>
        </w:rPr>
        <w:t xml:space="preserve">reprezentant legal </w:t>
      </w:r>
      <w:r>
        <w:rPr>
          <w:rFonts w:asciiTheme="minorHAnsi" w:hAnsiTheme="minorHAnsi" w:cstheme="minorHAnsi"/>
          <w:sz w:val="24"/>
        </w:rPr>
        <w:t xml:space="preserve">al </w:t>
      </w:r>
      <w:r>
        <w:rPr>
          <w:rFonts w:asciiTheme="minorHAnsi" w:hAnsiTheme="minorHAnsi" w:cstheme="minorHAnsi"/>
          <w:i/>
          <w:iCs/>
          <w:sz w:val="24"/>
          <w:lang w:eastAsia="sk-SK"/>
        </w:rPr>
        <w:t>(completați cu denumirea organizației solicitante)</w:t>
      </w:r>
      <w:r>
        <w:rPr>
          <w:rFonts w:asciiTheme="minorHAnsi" w:hAnsiTheme="minorHAnsi" w:cstheme="minorHAnsi"/>
          <w:snapToGrid w:val="0"/>
          <w:sz w:val="24"/>
        </w:rPr>
        <w:t xml:space="preserve">, </w:t>
      </w:r>
    </w:p>
    <w:p w14:paraId="05F7B79C" w14:textId="77777777" w:rsidR="00C27437" w:rsidRDefault="001549AB">
      <w:pPr>
        <w:jc w:val="both"/>
        <w:rPr>
          <w:rFonts w:asciiTheme="minorHAnsi" w:hAnsiTheme="minorHAnsi" w:cstheme="minorHAnsi"/>
          <w:sz w:val="24"/>
        </w:rPr>
      </w:pPr>
      <w:r>
        <w:rPr>
          <w:rFonts w:asciiTheme="minorHAnsi" w:hAnsiTheme="minorHAnsi" w:cstheme="minorHAnsi"/>
          <w:snapToGrid w:val="0"/>
          <w:sz w:val="24"/>
        </w:rPr>
        <w:t>Solicitant de finanțare (</w:t>
      </w:r>
      <w:r>
        <w:rPr>
          <w:rFonts w:asciiTheme="minorHAnsi" w:hAnsiTheme="minorHAnsi" w:cstheme="minorHAnsi"/>
          <w:i/>
          <w:snapToGrid w:val="0"/>
          <w:sz w:val="24"/>
        </w:rPr>
        <w:t>completați cu titlul proiectului</w:t>
      </w:r>
      <w:r>
        <w:rPr>
          <w:rFonts w:asciiTheme="minorHAnsi" w:hAnsiTheme="minorHAnsi" w:cstheme="minorHAnsi"/>
          <w:snapToGrid w:val="0"/>
          <w:sz w:val="24"/>
        </w:rPr>
        <w:t>) pentru care am depus/s-a depus prezenta Cerere de finanțare</w:t>
      </w:r>
      <w:r>
        <w:rPr>
          <w:rFonts w:asciiTheme="minorHAnsi" w:hAnsiTheme="minorHAnsi" w:cstheme="minorHAnsi"/>
          <w:sz w:val="24"/>
        </w:rPr>
        <w:t xml:space="preserve">, din care această declarație face parte integrantă, </w:t>
      </w:r>
    </w:p>
    <w:p w14:paraId="0B4B857C" w14:textId="77777777" w:rsidR="00C27437" w:rsidRDefault="001549AB">
      <w:pPr>
        <w:jc w:val="both"/>
        <w:rPr>
          <w:rFonts w:asciiTheme="minorHAnsi" w:hAnsiTheme="minorHAnsi" w:cstheme="minorHAnsi"/>
          <w:b/>
          <w:bCs/>
          <w:sz w:val="24"/>
        </w:rPr>
      </w:pPr>
      <w:r>
        <w:rPr>
          <w:rFonts w:asciiTheme="minorHAnsi" w:hAnsiTheme="minorHAnsi" w:cstheme="minorHAnsi"/>
          <w:b/>
          <w:bCs/>
          <w:sz w:val="24"/>
        </w:rPr>
        <w:t xml:space="preserve">Declar că </w:t>
      </w:r>
      <w:r>
        <w:rPr>
          <w:rFonts w:asciiTheme="minorHAnsi" w:hAnsiTheme="minorHAnsi" w:cstheme="minorHAnsi"/>
          <w:b/>
          <w:bCs/>
          <w:iCs/>
          <w:sz w:val="24"/>
          <w:lang w:eastAsia="sk-SK"/>
        </w:rPr>
        <w:t xml:space="preserve">activitățile/lucrările realizate în cadrul proiectului care contribuie </w:t>
      </w:r>
      <w:r>
        <w:rPr>
          <w:rFonts w:asciiTheme="minorHAnsi" w:hAnsiTheme="minorHAnsi" w:cstheme="minorHAnsi"/>
          <w:b/>
          <w:bCs/>
          <w:snapToGrid w:val="0"/>
          <w:sz w:val="24"/>
        </w:rPr>
        <w:t xml:space="preserve">la unul dintre cele șase obiective de mediu sunt considerate conforme cu principiul </w:t>
      </w:r>
      <w:r>
        <w:rPr>
          <w:rFonts w:asciiTheme="minorHAnsi" w:hAnsiTheme="minorHAnsi" w:cstheme="minorHAnsi"/>
          <w:b/>
          <w:bCs/>
          <w:sz w:val="24"/>
        </w:rPr>
        <w:t>de „a nu prejudicia în mod semnificativ” (DNSH – „</w:t>
      </w:r>
      <w:r>
        <w:rPr>
          <w:rFonts w:asciiTheme="minorHAnsi" w:hAnsiTheme="minorHAnsi" w:cstheme="minorHAnsi"/>
          <w:b/>
          <w:bCs/>
          <w:sz w:val="24"/>
          <w:lang w:val="en-US"/>
        </w:rPr>
        <w:t>Do No Significant Harm</w:t>
      </w:r>
      <w:r>
        <w:rPr>
          <w:rFonts w:asciiTheme="minorHAnsi" w:hAnsiTheme="minorHAnsi" w:cstheme="minorHAnsi"/>
          <w:b/>
          <w:bCs/>
          <w:sz w:val="24"/>
        </w:rPr>
        <w:t xml:space="preserve">”), prevăzute în Comunicarea Comisiei - Orientări tehnice privind aplicarea principiului de „a nu aduce prejudicii semnificative” în temeiul Regulamentului privind Mecanismul de redresare și reziliență (2021/C58/01). </w:t>
      </w:r>
    </w:p>
    <w:p w14:paraId="6B4CA728" w14:textId="77777777" w:rsidR="00C27437" w:rsidRDefault="001549AB">
      <w:pPr>
        <w:pStyle w:val="bullet"/>
        <w:rPr>
          <w:rFonts w:asciiTheme="minorHAnsi" w:hAnsiTheme="minorHAnsi" w:cstheme="minorHAnsi"/>
          <w:sz w:val="24"/>
        </w:rPr>
      </w:pPr>
      <w:r>
        <w:rPr>
          <w:rFonts w:asciiTheme="minorHAnsi" w:hAnsiTheme="minorHAnsi" w:cstheme="minorHAnsi"/>
          <w:sz w:val="24"/>
        </w:rPr>
        <w:t xml:space="preserve">Potrivit Regulamentului privind Mecanismul de redresare și reziliență, principiul DNSH trebuie interpretat în sensul articolului 17 din Regulamentul (UE) 2020/852 („Regulamentul privind taxonomia”), conform căruia noțiunea de „prejudiciere în mod semnificativ” pentru cele șase obiective de mediu vizate de Regulamentul privind taxonomia se definește astfel: </w:t>
      </w:r>
    </w:p>
    <w:p w14:paraId="76B5A3D0" w14:textId="77777777" w:rsidR="00C27437" w:rsidRDefault="001549AB">
      <w:pPr>
        <w:pStyle w:val="bullet"/>
        <w:ind w:left="720"/>
        <w:rPr>
          <w:rFonts w:asciiTheme="minorHAnsi" w:hAnsiTheme="minorHAnsi" w:cstheme="minorHAnsi"/>
          <w:i/>
          <w:sz w:val="24"/>
        </w:rPr>
      </w:pPr>
      <w:r>
        <w:rPr>
          <w:rFonts w:asciiTheme="minorHAnsi" w:hAnsiTheme="minorHAnsi" w:cstheme="minorHAnsi"/>
          <w:i/>
          <w:sz w:val="24"/>
        </w:rPr>
        <w:t>1. Se consideră că o activitate prejudiciază în mod semnificativ atenuarea schimbărilor climatice în cazul în care activitatea respectivă generează emisii semnifi</w:t>
      </w:r>
      <w:r w:rsidR="00D01AD0">
        <w:rPr>
          <w:rFonts w:asciiTheme="minorHAnsi" w:hAnsiTheme="minorHAnsi" w:cstheme="minorHAnsi"/>
          <w:i/>
          <w:sz w:val="24"/>
        </w:rPr>
        <w:t xml:space="preserve">cative de gaze cu efect de seră </w:t>
      </w:r>
      <w:r>
        <w:rPr>
          <w:rFonts w:asciiTheme="minorHAnsi" w:hAnsiTheme="minorHAnsi" w:cstheme="minorHAnsi"/>
          <w:i/>
          <w:sz w:val="24"/>
        </w:rPr>
        <w:t xml:space="preserve">(GES); </w:t>
      </w:r>
    </w:p>
    <w:p w14:paraId="315A4D30" w14:textId="77777777" w:rsidR="00C27437" w:rsidRDefault="001549AB">
      <w:pPr>
        <w:pStyle w:val="bullet"/>
        <w:ind w:left="720"/>
        <w:rPr>
          <w:rFonts w:asciiTheme="minorHAnsi" w:hAnsiTheme="minorHAnsi" w:cstheme="minorHAnsi"/>
          <w:i/>
          <w:sz w:val="24"/>
        </w:rPr>
      </w:pPr>
      <w:r>
        <w:rPr>
          <w:rFonts w:asciiTheme="minorHAnsi" w:hAnsiTheme="minorHAnsi" w:cstheme="minorHAnsi"/>
          <w:i/>
          <w:sz w:val="24"/>
        </w:rPr>
        <w:t xml:space="preserve">2. Se consideră că o activitate prejudiciază în mod semnificativ adaptarea la schimbările climatice în cazul în care activitatea respectivă duce la creșterea efectului negativ al climatului actual și al climatului preconizat în viitor asupra activității în sine sau asupra persoanelor, asupra naturii sau asupra activelor; </w:t>
      </w:r>
    </w:p>
    <w:p w14:paraId="704FF031" w14:textId="77777777" w:rsidR="00C27437" w:rsidRDefault="001549AB">
      <w:pPr>
        <w:pStyle w:val="bullet"/>
        <w:ind w:left="720"/>
        <w:rPr>
          <w:rFonts w:asciiTheme="minorHAnsi" w:hAnsiTheme="minorHAnsi" w:cstheme="minorHAnsi"/>
          <w:i/>
          <w:sz w:val="24"/>
        </w:rPr>
      </w:pPr>
      <w:r>
        <w:rPr>
          <w:rFonts w:asciiTheme="minorHAnsi" w:hAnsiTheme="minorHAnsi" w:cstheme="minorHAnsi"/>
          <w:i/>
          <w:sz w:val="24"/>
        </w:rPr>
        <w:t xml:space="preserve">3. Se consideră că o activitate prejudiciază în mod semnificativ utilizarea durabilă și protejarea resurselor de apă și a celor marine în cazul în care activitatea respectivă este nocivă pentru starea bună sau pentru potențialul ecologic bun al corpurilor de apă, inclusiv al apelor de suprafață și subterane, sau starea ecologică bună a apelor marine; </w:t>
      </w:r>
    </w:p>
    <w:p w14:paraId="45BE8C20" w14:textId="77777777" w:rsidR="00C27437" w:rsidRDefault="001549AB">
      <w:pPr>
        <w:pStyle w:val="bullet"/>
        <w:ind w:left="720"/>
        <w:rPr>
          <w:rFonts w:asciiTheme="minorHAnsi" w:hAnsiTheme="minorHAnsi" w:cstheme="minorHAnsi"/>
          <w:i/>
          <w:sz w:val="24"/>
        </w:rPr>
      </w:pPr>
      <w:r>
        <w:rPr>
          <w:rFonts w:asciiTheme="minorHAnsi" w:hAnsiTheme="minorHAnsi" w:cstheme="minorHAnsi"/>
          <w:i/>
          <w:sz w:val="24"/>
        </w:rPr>
        <w:t xml:space="preserve">4. Se consideră că o activitate prejudiciază în mod semnificativ economia circulară, inclusiv prevenirea generării de deșeuri și reciclarea acestora, în cazul în care activitatea respectivă duce la ineficiențe semnificative în utilizarea materialelor sau în utilizarea directă sau indirectă a resurselor naturale, la o creștere semnificativă a generării, a incinerării sau a eliminării deșeurilor, sau în cazul în care eliminarea pe termen lung a deșeurilor poate cauza prejudicii semnificative și pe termen lung mediului; </w:t>
      </w:r>
    </w:p>
    <w:p w14:paraId="3A127913" w14:textId="77777777" w:rsidR="00C27437" w:rsidRDefault="001549AB">
      <w:pPr>
        <w:pStyle w:val="bullet"/>
        <w:ind w:left="720"/>
        <w:rPr>
          <w:rFonts w:asciiTheme="minorHAnsi" w:hAnsiTheme="minorHAnsi" w:cstheme="minorHAnsi"/>
          <w:i/>
          <w:sz w:val="24"/>
        </w:rPr>
      </w:pPr>
      <w:r>
        <w:rPr>
          <w:rFonts w:asciiTheme="minorHAnsi" w:hAnsiTheme="minorHAnsi" w:cstheme="minorHAnsi"/>
          <w:i/>
          <w:sz w:val="24"/>
        </w:rPr>
        <w:t xml:space="preserve">5. Se consideră că o activitate prejudiciază în mod semnificativ prevenirea și controlul poluării în cazul în care activitatea respectivă duce la o creștere semnificativă a emisiilor de poluanți în aer, apă sau sol; </w:t>
      </w:r>
    </w:p>
    <w:p w14:paraId="71BB9262" w14:textId="77777777" w:rsidR="00C27437" w:rsidRDefault="001549AB">
      <w:pPr>
        <w:pStyle w:val="bullet"/>
        <w:ind w:left="720"/>
        <w:rPr>
          <w:rFonts w:asciiTheme="minorHAnsi" w:hAnsiTheme="minorHAnsi" w:cstheme="minorHAnsi"/>
          <w:i/>
          <w:sz w:val="24"/>
        </w:rPr>
      </w:pPr>
      <w:r>
        <w:rPr>
          <w:rFonts w:asciiTheme="minorHAnsi" w:hAnsiTheme="minorHAnsi" w:cstheme="minorHAnsi"/>
          <w:i/>
          <w:sz w:val="24"/>
        </w:rPr>
        <w:lastRenderedPageBreak/>
        <w:t>6. Se consideră că o activitate economică prejudiciază în mod semnificativ protecția și refacerea biodiversității și a ecosistemelor în cazul în care activitatea respectivă este nocivă în mod semnificativ pentru condiția bună și reziliența ecosistemelor sau nocivă pentru stadiul de conservare a habitatelor și a speciilor, inclusiv a celor de interes pentru Uniune.</w:t>
      </w:r>
    </w:p>
    <w:p w14:paraId="43EBBA8E" w14:textId="77777777" w:rsidR="00C27437" w:rsidRDefault="001549AB">
      <w:pPr>
        <w:pStyle w:val="Default"/>
        <w:jc w:val="both"/>
        <w:rPr>
          <w:rFonts w:asciiTheme="minorHAnsi" w:hAnsiTheme="minorHAnsi" w:cstheme="minorHAnsi"/>
        </w:rPr>
      </w:pPr>
      <w:r>
        <w:rPr>
          <w:rFonts w:asciiTheme="minorHAnsi" w:hAnsiTheme="minorHAnsi" w:cstheme="minorHAnsi"/>
          <w:b/>
          <w:bCs/>
          <w:snapToGrid w:val="0"/>
        </w:rPr>
        <w:t>Referitor la obiectivul de mediu 1 –</w:t>
      </w:r>
      <w:r>
        <w:rPr>
          <w:rFonts w:asciiTheme="minorHAnsi" w:hAnsiTheme="minorHAnsi" w:cstheme="minorHAnsi"/>
          <w:i/>
          <w:iCs/>
        </w:rPr>
        <w:t>Atenuarea schimbărilor climatice</w:t>
      </w:r>
    </w:p>
    <w:p w14:paraId="70B6EBAA" w14:textId="77777777" w:rsidR="00786E75" w:rsidRPr="00786E75" w:rsidRDefault="00786E75" w:rsidP="00786E75">
      <w:pPr>
        <w:pStyle w:val="Default"/>
        <w:jc w:val="both"/>
        <w:rPr>
          <w:rFonts w:asciiTheme="minorHAnsi" w:hAnsiTheme="minorHAnsi" w:cstheme="minorHAnsi"/>
        </w:rPr>
      </w:pPr>
      <w:r w:rsidRPr="00786E75">
        <w:rPr>
          <w:rFonts w:asciiTheme="minorHAnsi" w:hAnsiTheme="minorHAnsi" w:cstheme="minorHAnsi"/>
        </w:rPr>
        <w:t>Investiția este încadrată sub codul 044 Gestionarea deșeurilor comerciale și industriale: măsuri de prevenire, minimizare, sortare, reutilizare și reciclare</w:t>
      </w:r>
    </w:p>
    <w:p w14:paraId="347BC9AD" w14:textId="77777777" w:rsidR="00786E75" w:rsidRPr="00786E75" w:rsidRDefault="00786E75" w:rsidP="00786E75">
      <w:pPr>
        <w:pStyle w:val="Default"/>
        <w:jc w:val="both"/>
        <w:rPr>
          <w:rFonts w:asciiTheme="minorHAnsi" w:hAnsiTheme="minorHAnsi" w:cstheme="minorHAnsi"/>
        </w:rPr>
      </w:pPr>
      <w:r w:rsidRPr="00786E75">
        <w:rPr>
          <w:rFonts w:asciiTheme="minorHAnsi" w:hAnsiTheme="minorHAnsi" w:cstheme="minorHAnsi"/>
        </w:rPr>
        <w:t>În ceea ce privește vehiculele, achizițiile vor viza cea mai bună tehnologie disponibilă (best-available-technology) din punct de vedere al mediului.</w:t>
      </w:r>
    </w:p>
    <w:p w14:paraId="0BF4C180" w14:textId="77777777" w:rsidR="00786E75" w:rsidRPr="00786E75" w:rsidRDefault="00786E75" w:rsidP="00786E75">
      <w:pPr>
        <w:pStyle w:val="Default"/>
        <w:jc w:val="both"/>
        <w:rPr>
          <w:rFonts w:asciiTheme="minorHAnsi" w:hAnsiTheme="minorHAnsi" w:cstheme="minorHAnsi"/>
        </w:rPr>
      </w:pPr>
      <w:r w:rsidRPr="00786E75">
        <w:rPr>
          <w:rFonts w:asciiTheme="minorHAnsi" w:hAnsiTheme="minorHAnsi" w:cstheme="minorHAnsi"/>
        </w:rPr>
        <w:t>Pentru vehiculele tractate se vor prioritiza cele construite cu respectarea normelor de utilizare a materialelor reciclabile conform Directivei 2000/53/CE prin care la proiectarea componentele și materialelor vehicolelor, precum și piesele de rezervă și de schimb, s-au luat în considerare măsuri astfel încât să nu se aducă atingere standardelor de siguranță, valorilor emisiilor în aer și reducerii zgomotului. Se aplică pentru remorci, mașina de împraștiat gunoi, cisterna vidanja, tocător resturi vegetale, etc.</w:t>
      </w:r>
    </w:p>
    <w:p w14:paraId="47B00233" w14:textId="77777777" w:rsidR="00786E75" w:rsidRPr="00786E75" w:rsidRDefault="00786E75" w:rsidP="00786E75">
      <w:pPr>
        <w:pStyle w:val="Default"/>
        <w:jc w:val="both"/>
        <w:rPr>
          <w:rFonts w:asciiTheme="minorHAnsi" w:hAnsiTheme="minorHAnsi" w:cstheme="minorHAnsi"/>
        </w:rPr>
      </w:pPr>
      <w:r w:rsidRPr="00786E75">
        <w:rPr>
          <w:rFonts w:asciiTheme="minorHAnsi" w:hAnsiTheme="minorHAnsi" w:cstheme="minorHAnsi"/>
        </w:rPr>
        <w:t>Motoarele de la tocătoarele de resturi vegetale, stațiile de împachetare, cântare, ciururi vor trebui să utilizeze energie electrică – fiind exclusă alimentarea cu benzină / motorină. În cazul în care acestea nu au motoare individuale, se va dovedi că sunt propulsate de un tractor având ultima normă europeană de poluare.</w:t>
      </w:r>
    </w:p>
    <w:p w14:paraId="465128EE" w14:textId="77777777" w:rsidR="00786E75" w:rsidRPr="00786E75" w:rsidRDefault="00786E75" w:rsidP="00786E75">
      <w:pPr>
        <w:pStyle w:val="Default"/>
        <w:jc w:val="both"/>
        <w:rPr>
          <w:rFonts w:asciiTheme="minorHAnsi" w:hAnsiTheme="minorHAnsi" w:cstheme="minorHAnsi"/>
        </w:rPr>
      </w:pPr>
      <w:r w:rsidRPr="00786E75">
        <w:rPr>
          <w:rFonts w:asciiTheme="minorHAnsi" w:hAnsiTheme="minorHAnsi" w:cstheme="minorHAnsi"/>
        </w:rPr>
        <w:t>Echipamentele de împrăștiere a compostului / fracției lichide din gunoiul de grajd vor trebui să utilizeze tehnologii care reduc cantitatea de emisii de amoniac și alte emisii gazoase în procesul de distribuire pe terenurile agricole.</w:t>
      </w:r>
    </w:p>
    <w:p w14:paraId="278B8865" w14:textId="29AFFF34" w:rsidR="00C27437" w:rsidRDefault="00786E75" w:rsidP="00786E75">
      <w:pPr>
        <w:pStyle w:val="Default"/>
        <w:jc w:val="both"/>
        <w:rPr>
          <w:rFonts w:asciiTheme="minorHAnsi" w:hAnsiTheme="minorHAnsi" w:cstheme="minorHAnsi"/>
        </w:rPr>
      </w:pPr>
      <w:r w:rsidRPr="00786E75">
        <w:rPr>
          <w:rFonts w:asciiTheme="minorHAnsi" w:hAnsiTheme="minorHAnsi" w:cstheme="minorHAnsi"/>
        </w:rPr>
        <w:t>În aceste condiții, operarea acestor vehicule nu va conduce la o creștere semnificativă a emisiilor de gaze cu efect de seră, dar nivelul acestora va fi calculat pentru fiecare proiect în cadrul procedurii de evaluare a impactului asupra mediului. Întrucât activitatea nu este vizată de pragurile ETS (Directiva 2003/87/CE a Parlamentului European și a Consiliului din 13 octombrie 2003 de stabilire a unui sistem de comercializare a cotelor de emisie de gaze cu efect de seră în cadrul Comunității și de modificare a Directivei 96/61/CE a Consiliului), măsura de reformă nu afectează obiectivul de atingere a țintei de reducere de emisii de GES stabilită pentru anul 2030 și nici obiectivul de neutralitate climatică (2050).</w:t>
      </w:r>
    </w:p>
    <w:p w14:paraId="5FDE3BAA" w14:textId="77777777" w:rsidR="00786E75" w:rsidRDefault="00786E75" w:rsidP="00786E75">
      <w:pPr>
        <w:pStyle w:val="Default"/>
        <w:jc w:val="both"/>
        <w:rPr>
          <w:rFonts w:asciiTheme="minorHAnsi" w:hAnsiTheme="minorHAnsi" w:cstheme="minorHAnsi"/>
        </w:rPr>
      </w:pPr>
    </w:p>
    <w:p w14:paraId="2EFC588B" w14:textId="77777777" w:rsidR="00C27437" w:rsidRDefault="001549AB">
      <w:pPr>
        <w:pStyle w:val="Default"/>
        <w:jc w:val="both"/>
        <w:rPr>
          <w:rFonts w:asciiTheme="minorHAnsi" w:hAnsiTheme="minorHAnsi" w:cstheme="minorHAnsi"/>
        </w:rPr>
      </w:pPr>
      <w:r>
        <w:rPr>
          <w:rFonts w:asciiTheme="minorHAnsi" w:hAnsiTheme="minorHAnsi" w:cstheme="minorHAnsi"/>
          <w:b/>
          <w:bCs/>
          <w:snapToGrid w:val="0"/>
        </w:rPr>
        <w:t>Referitor la obiectivul de mediu 2</w:t>
      </w:r>
      <w:r>
        <w:rPr>
          <w:rFonts w:asciiTheme="minorHAnsi" w:hAnsiTheme="minorHAnsi" w:cstheme="minorHAnsi"/>
        </w:rPr>
        <w:t xml:space="preserve"> </w:t>
      </w:r>
      <w:r>
        <w:rPr>
          <w:rFonts w:asciiTheme="minorHAnsi" w:hAnsiTheme="minorHAnsi" w:cstheme="minorHAnsi"/>
          <w:i/>
          <w:iCs/>
        </w:rPr>
        <w:t>Adaptarea la schimbările climatice</w:t>
      </w:r>
    </w:p>
    <w:p w14:paraId="21DD9BC6" w14:textId="5FB59BCF" w:rsidR="00C27437" w:rsidRDefault="00786E75">
      <w:pPr>
        <w:jc w:val="both"/>
        <w:rPr>
          <w:rFonts w:asciiTheme="minorHAnsi" w:hAnsiTheme="minorHAnsi" w:cstheme="minorHAnsi"/>
          <w:sz w:val="24"/>
        </w:rPr>
      </w:pPr>
      <w:r w:rsidRPr="00786E75">
        <w:rPr>
          <w:rFonts w:asciiTheme="minorHAnsi" w:hAnsiTheme="minorHAnsi" w:cstheme="minorHAnsi"/>
          <w:sz w:val="24"/>
        </w:rPr>
        <w:t>Investiția este încadrată sub codul 044 Gestionarea deșeurilor comerciale și industriale: măsuri de prevenire, minimizare, sortare, reutilizare și reciclare</w:t>
      </w:r>
      <w:r w:rsidR="001549AB">
        <w:rPr>
          <w:rFonts w:asciiTheme="minorHAnsi" w:hAnsiTheme="minorHAnsi" w:cstheme="minorHAnsi"/>
          <w:sz w:val="24"/>
        </w:rPr>
        <w:t xml:space="preserve">. Prin urmare, investiția are o contribuție substanțială la obiectivul de adaptare la schimbările climatice. </w:t>
      </w:r>
    </w:p>
    <w:p w14:paraId="0DD3A116" w14:textId="77777777" w:rsidR="00786E75" w:rsidRPr="00786E75" w:rsidRDefault="001549AB" w:rsidP="00786E75">
      <w:pPr>
        <w:jc w:val="both"/>
        <w:rPr>
          <w:rFonts w:asciiTheme="minorHAnsi" w:hAnsiTheme="minorHAnsi" w:cstheme="minorHAnsi"/>
          <w:sz w:val="24"/>
        </w:rPr>
      </w:pPr>
      <w:r>
        <w:rPr>
          <w:rFonts w:asciiTheme="minorHAnsi" w:hAnsiTheme="minorHAnsi" w:cstheme="minorHAnsi"/>
          <w:b/>
          <w:bCs/>
          <w:snapToGrid w:val="0"/>
          <w:sz w:val="24"/>
        </w:rPr>
        <w:t>Referitor la obiectivul de mediu 3</w:t>
      </w:r>
      <w:r>
        <w:rPr>
          <w:rFonts w:asciiTheme="minorHAnsi" w:hAnsiTheme="minorHAnsi" w:cstheme="minorHAnsi"/>
          <w:sz w:val="24"/>
        </w:rPr>
        <w:t xml:space="preserve"> </w:t>
      </w:r>
      <w:r>
        <w:rPr>
          <w:rFonts w:asciiTheme="minorHAnsi" w:hAnsiTheme="minorHAnsi" w:cstheme="minorHAnsi"/>
          <w:i/>
          <w:iCs/>
          <w:sz w:val="24"/>
        </w:rPr>
        <w:t>Utilizarea durabilă și protecția resurselor de apă și marine</w:t>
      </w:r>
      <w:r>
        <w:rPr>
          <w:rFonts w:asciiTheme="minorHAnsi" w:hAnsiTheme="minorHAnsi" w:cstheme="minorHAnsi"/>
          <w:sz w:val="24"/>
        </w:rPr>
        <w:t xml:space="preserve"> </w:t>
      </w:r>
      <w:r w:rsidR="00786E75" w:rsidRPr="00786E75">
        <w:rPr>
          <w:rFonts w:asciiTheme="minorHAnsi" w:hAnsiTheme="minorHAnsi" w:cstheme="minorHAnsi"/>
          <w:sz w:val="24"/>
        </w:rPr>
        <w:t>Investiția nu va afecta obiectivul de utilizare durabilă și de protejare a resurselor de apă și a celor marine întrucât dezvoltarea infrastructurii va fi realizată cu respectarea următoarelor cerințe:</w:t>
      </w:r>
    </w:p>
    <w:p w14:paraId="0AD786D0" w14:textId="77777777" w:rsidR="00786E75" w:rsidRPr="00786E75" w:rsidRDefault="00786E75" w:rsidP="00786E75">
      <w:pPr>
        <w:jc w:val="both"/>
        <w:rPr>
          <w:rFonts w:asciiTheme="minorHAnsi" w:hAnsiTheme="minorHAnsi" w:cstheme="minorHAnsi"/>
          <w:sz w:val="24"/>
        </w:rPr>
      </w:pPr>
      <w:r w:rsidRPr="00786E75">
        <w:rPr>
          <w:rFonts w:asciiTheme="minorHAnsi" w:hAnsiTheme="minorHAnsi" w:cstheme="minorHAnsi"/>
          <w:sz w:val="24"/>
        </w:rPr>
        <w:t>Echipamentele de împrăștiere a compostului / fracției lichide din gunoiul de grajd vor trebui să utilizeze tehnologii care reduc cantitatea de emisii de amoniac și alte emisii gazoase în procesul de distribuire pe terenurile agricole.</w:t>
      </w:r>
    </w:p>
    <w:p w14:paraId="095B876C" w14:textId="77777777" w:rsidR="00786E75" w:rsidRPr="00786E75" w:rsidRDefault="00786E75" w:rsidP="00786E75">
      <w:pPr>
        <w:jc w:val="both"/>
        <w:rPr>
          <w:rFonts w:asciiTheme="minorHAnsi" w:hAnsiTheme="minorHAnsi" w:cstheme="minorHAnsi"/>
          <w:sz w:val="24"/>
        </w:rPr>
      </w:pPr>
      <w:r w:rsidRPr="00786E75">
        <w:rPr>
          <w:rFonts w:asciiTheme="minorHAnsi" w:hAnsiTheme="minorHAnsi" w:cstheme="minorHAnsi"/>
          <w:sz w:val="24"/>
        </w:rPr>
        <w:lastRenderedPageBreak/>
        <w:t>Se vor prefera tehnologii care presupun un control al aplicării fertilizanților pentru reducerea emisiilor de amoniac și a pierderilor de nitrați (de ex. injectarea în sol a fracției lichide sau aplicarea cu aerare redusă a compostului).</w:t>
      </w:r>
    </w:p>
    <w:p w14:paraId="1766F402" w14:textId="53D156E8" w:rsidR="00786E75" w:rsidRPr="00786E75" w:rsidRDefault="00786E75" w:rsidP="00786E75">
      <w:pPr>
        <w:jc w:val="both"/>
        <w:rPr>
          <w:rFonts w:asciiTheme="minorHAnsi" w:hAnsiTheme="minorHAnsi" w:cstheme="minorHAnsi"/>
          <w:sz w:val="24"/>
        </w:rPr>
      </w:pPr>
      <w:r w:rsidRPr="00786E75">
        <w:rPr>
          <w:rFonts w:asciiTheme="minorHAnsi" w:hAnsiTheme="minorHAnsi" w:cstheme="minorHAnsi"/>
          <w:sz w:val="24"/>
        </w:rPr>
        <w:t>Se vor aplica prevederile Codului de Bune Practici Agricole privind protecția apelor la poluarea cu nitrați și reducerea emisiilor de compuși cu azot, atât în procesul de compostare, cât și în procesul de aplicare pe terenuri agricole a acestuia.</w:t>
      </w:r>
    </w:p>
    <w:p w14:paraId="63ABA5EC" w14:textId="67E81C9A" w:rsidR="00786E75" w:rsidRPr="00786E75" w:rsidRDefault="00786E75" w:rsidP="00786E75">
      <w:pPr>
        <w:jc w:val="both"/>
        <w:rPr>
          <w:rFonts w:asciiTheme="minorHAnsi" w:hAnsiTheme="minorHAnsi" w:cstheme="minorHAnsi"/>
          <w:sz w:val="24"/>
        </w:rPr>
      </w:pPr>
      <w:r w:rsidRPr="00786E75">
        <w:rPr>
          <w:rFonts w:asciiTheme="minorHAnsi" w:hAnsiTheme="minorHAnsi" w:cstheme="minorHAnsi"/>
          <w:sz w:val="24"/>
        </w:rPr>
        <w:t>Lucrările nu vor deteriora starea /potențialul ecologic a/al corpurilor de apă și nu vor împiedica îmbunătățirea potențialului ecologic cu luarea în considerare a efectelor schimbărilor climatice;</w:t>
      </w:r>
    </w:p>
    <w:p w14:paraId="4B094D96" w14:textId="15ABE068" w:rsidR="00786E75" w:rsidRPr="00786E75" w:rsidRDefault="00786E75" w:rsidP="00786E75">
      <w:pPr>
        <w:jc w:val="both"/>
        <w:rPr>
          <w:rFonts w:asciiTheme="minorHAnsi" w:hAnsiTheme="minorHAnsi" w:cstheme="minorHAnsi"/>
          <w:sz w:val="24"/>
        </w:rPr>
      </w:pPr>
      <w:r w:rsidRPr="00786E75">
        <w:rPr>
          <w:rFonts w:asciiTheme="minorHAnsi" w:hAnsiTheme="minorHAnsi" w:cstheme="minorHAnsi"/>
          <w:sz w:val="24"/>
        </w:rPr>
        <w:t>Prin excepție de la cerința de mai sus, în cazul în care investițiile propuse în cadrul proiectului pot deteriora starea / potențialul ecologic ca urmare a modificărilor de natură morfologică a corpurilor de apă sau pot conduce la deteriorarea stării/potențialului ecologic, se va demonstra că proiectul de investiții îndeplinește condițiile stabilite la articolul 4.7 din DCA, respectiv articolul 2.7 din Legea Apelor 107/1996 cu modificările și completările ulterioare, prin luarea în considerare a următoarele aspecte:</w:t>
      </w:r>
    </w:p>
    <w:p w14:paraId="3EF26130" w14:textId="77777777" w:rsidR="00786E75" w:rsidRPr="00786E75" w:rsidRDefault="00786E75" w:rsidP="00786E75">
      <w:pPr>
        <w:ind w:left="720"/>
        <w:jc w:val="both"/>
        <w:rPr>
          <w:rFonts w:asciiTheme="minorHAnsi" w:hAnsiTheme="minorHAnsi" w:cstheme="minorHAnsi"/>
          <w:sz w:val="24"/>
        </w:rPr>
      </w:pPr>
      <w:r w:rsidRPr="00786E75">
        <w:rPr>
          <w:rFonts w:asciiTheme="minorHAnsi" w:hAnsiTheme="minorHAnsi" w:cstheme="minorHAnsi"/>
          <w:sz w:val="24"/>
        </w:rPr>
        <w:t>- se vor lua toate măsurile posibile pentru a atenua impactul negativ asupra stării corpului de apă;</w:t>
      </w:r>
    </w:p>
    <w:p w14:paraId="73874547" w14:textId="77777777" w:rsidR="00786E75" w:rsidRPr="00786E75" w:rsidRDefault="00786E75" w:rsidP="00786E75">
      <w:pPr>
        <w:ind w:left="720"/>
        <w:jc w:val="both"/>
        <w:rPr>
          <w:rFonts w:asciiTheme="minorHAnsi" w:hAnsiTheme="minorHAnsi" w:cstheme="minorHAnsi"/>
          <w:sz w:val="24"/>
        </w:rPr>
      </w:pPr>
      <w:r w:rsidRPr="00786E75">
        <w:rPr>
          <w:rFonts w:asciiTheme="minorHAnsi" w:hAnsiTheme="minorHAnsi" w:cstheme="minorHAnsi"/>
          <w:sz w:val="24"/>
        </w:rPr>
        <w:t>- se va analiza dacă motivele care stau la baza acestor modificări sunt de interes public major și / sau beneficiile aduse mediului și societății de realizare a obiectivelor (stabilite la paragraful 1 al articolului 4 din DCA) sunt depășite de beneficiile noilor modificări sau schimbări pentru sănătatea umană, pentru menținerea securității umane sau pentru dezvoltarea durabilă;</w:t>
      </w:r>
    </w:p>
    <w:p w14:paraId="2779A2A4" w14:textId="77777777" w:rsidR="00786E75" w:rsidRPr="00786E75" w:rsidRDefault="00786E75" w:rsidP="00786E75">
      <w:pPr>
        <w:ind w:left="720"/>
        <w:jc w:val="both"/>
        <w:rPr>
          <w:rFonts w:asciiTheme="minorHAnsi" w:hAnsiTheme="minorHAnsi" w:cstheme="minorHAnsi"/>
          <w:sz w:val="24"/>
        </w:rPr>
      </w:pPr>
      <w:r w:rsidRPr="00786E75">
        <w:rPr>
          <w:rFonts w:asciiTheme="minorHAnsi" w:hAnsiTheme="minorHAnsi" w:cstheme="minorHAnsi"/>
          <w:sz w:val="24"/>
        </w:rPr>
        <w:t>- beneficiile care sunt înregistrate ca urmare a acestor modificări sau schimbări aduse corpului de apă nu pot fi atinse, prin alte mijloace (opțiune superioară din punct de vedere al protecției mediului), din motive care țin de fezabilitatea tehnică sau din cauza aspecte de natură financiară.</w:t>
      </w:r>
    </w:p>
    <w:p w14:paraId="07A60EB0" w14:textId="77777777" w:rsidR="00786E75" w:rsidRDefault="00786E75" w:rsidP="00786E75">
      <w:pPr>
        <w:jc w:val="both"/>
        <w:rPr>
          <w:rFonts w:asciiTheme="minorHAnsi" w:hAnsiTheme="minorHAnsi" w:cstheme="minorHAnsi"/>
          <w:sz w:val="24"/>
        </w:rPr>
      </w:pPr>
      <w:r w:rsidRPr="00786E75">
        <w:rPr>
          <w:rFonts w:asciiTheme="minorHAnsi" w:hAnsiTheme="minorHAnsi" w:cstheme="minorHAnsi"/>
          <w:sz w:val="24"/>
        </w:rPr>
        <w:t>Lucrările nu vor afecta negativ într-o măsură semnificativă speciile și habitatele direct dependente de apă.</w:t>
      </w:r>
    </w:p>
    <w:p w14:paraId="181D166D" w14:textId="2AE7549F" w:rsidR="00C27437" w:rsidRDefault="001549AB" w:rsidP="00786E75">
      <w:pPr>
        <w:jc w:val="both"/>
        <w:rPr>
          <w:rFonts w:asciiTheme="minorHAnsi" w:hAnsiTheme="minorHAnsi" w:cstheme="minorHAnsi"/>
          <w:sz w:val="24"/>
        </w:rPr>
      </w:pPr>
      <w:r>
        <w:rPr>
          <w:rFonts w:asciiTheme="minorHAnsi" w:hAnsiTheme="minorHAnsi" w:cstheme="minorHAnsi"/>
          <w:b/>
          <w:bCs/>
          <w:snapToGrid w:val="0"/>
          <w:sz w:val="24"/>
        </w:rPr>
        <w:t>Referitor la obiectivul de mediu 4</w:t>
      </w:r>
      <w:r>
        <w:rPr>
          <w:rFonts w:asciiTheme="minorHAnsi" w:hAnsiTheme="minorHAnsi" w:cstheme="minorHAnsi"/>
          <w:sz w:val="24"/>
        </w:rPr>
        <w:t xml:space="preserve"> </w:t>
      </w:r>
      <w:r>
        <w:rPr>
          <w:rFonts w:asciiTheme="minorHAnsi" w:hAnsiTheme="minorHAnsi" w:cstheme="minorHAnsi"/>
          <w:i/>
          <w:iCs/>
          <w:sz w:val="24"/>
        </w:rPr>
        <w:t>Economia circulară, inclusiv prevenirea și reciclarea deșeurilor</w:t>
      </w:r>
    </w:p>
    <w:p w14:paraId="2EF224BF" w14:textId="77777777" w:rsidR="00C27437" w:rsidRDefault="001549AB">
      <w:pPr>
        <w:jc w:val="both"/>
        <w:rPr>
          <w:rFonts w:asciiTheme="minorHAnsi" w:hAnsiTheme="minorHAnsi" w:cstheme="minorHAnsi"/>
          <w:sz w:val="24"/>
        </w:rPr>
      </w:pPr>
      <w:r>
        <w:rPr>
          <w:rFonts w:asciiTheme="minorHAnsi" w:hAnsiTheme="minorHAnsi" w:cstheme="minorHAnsi"/>
          <w:sz w:val="24"/>
        </w:rPr>
        <w:t xml:space="preserve">Măsura de reformă nu va afecta obiectivul de economie circulară, inclusiv prevenirea și reciclarea deșeurilor întrucât dezvoltarea infrastructurii de gestionare a deșeurilor va fi realizată cu respectarea următoarelor cerințe:  </w:t>
      </w:r>
    </w:p>
    <w:p w14:paraId="1A78825D" w14:textId="77777777" w:rsidR="00C27437" w:rsidRDefault="001549AB">
      <w:pPr>
        <w:pStyle w:val="ListParagraph"/>
        <w:numPr>
          <w:ilvl w:val="0"/>
          <w:numId w:val="6"/>
        </w:numPr>
        <w:ind w:left="360"/>
        <w:jc w:val="both"/>
        <w:rPr>
          <w:rFonts w:asciiTheme="minorHAnsi" w:hAnsiTheme="minorHAnsi" w:cstheme="minorHAnsi"/>
          <w:sz w:val="24"/>
        </w:rPr>
      </w:pPr>
      <w:r>
        <w:rPr>
          <w:rFonts w:asciiTheme="minorHAnsi" w:hAnsiTheme="minorHAnsi" w:cstheme="minorHAnsi"/>
          <w:sz w:val="24"/>
        </w:rPr>
        <w:t>Gestionarea deșeurilor rezultate în toate etapele se va realiza în linie cu obiectivele de reducere a cantităților de deșeuri generate și de maximizare a reutilizării și reciclării, respectiv în linie cu obiectivele din cadrul general de gestionare a deșeurilor la nivel național - Planul național de gestionare a deșeurilor (elaborat în baza art. 28 al Directivei 2008/98/EC privind deșeurile și de abrogare a anumitor directive, cu modificările ulterioare și aprobat prin Hotărârea Guvernului nr. 942/2017);</w:t>
      </w:r>
    </w:p>
    <w:p w14:paraId="1C2DEE7F" w14:textId="77777777" w:rsidR="00C27437" w:rsidRDefault="001549AB">
      <w:pPr>
        <w:pStyle w:val="ListParagraph"/>
        <w:numPr>
          <w:ilvl w:val="0"/>
          <w:numId w:val="6"/>
        </w:numPr>
        <w:ind w:left="360"/>
        <w:jc w:val="both"/>
        <w:rPr>
          <w:rFonts w:asciiTheme="minorHAnsi" w:hAnsiTheme="minorHAnsi" w:cstheme="minorHAnsi"/>
          <w:sz w:val="24"/>
        </w:rPr>
      </w:pPr>
      <w:r>
        <w:rPr>
          <w:rFonts w:asciiTheme="minorHAnsi" w:hAnsiTheme="minorHAnsi" w:cstheme="minorHAnsi"/>
          <w:sz w:val="24"/>
        </w:rPr>
        <w:lastRenderedPageBreak/>
        <w:t>În toate etapele proiectului se va menține evidența gestiunii deșeurilor conform OUG 92/2021 privind regimul deșeurilor, H.G. 856/2002 privind evidența gestiunii deșeurilor și pentru aprobarea listei cuprinzând deșeurile, inclusiv deșeurile periculoase, cu modificările și completările ulterioare și respectiv Legea nr. 249/2019 privind modalitatea de gestionare a ambalajelor și a deșeurilor de ambalaje, cu modificările și completările ulterioare;</w:t>
      </w:r>
    </w:p>
    <w:p w14:paraId="29234745" w14:textId="77777777" w:rsidR="00C27437" w:rsidRDefault="001549AB">
      <w:pPr>
        <w:pStyle w:val="ListParagraph"/>
        <w:numPr>
          <w:ilvl w:val="0"/>
          <w:numId w:val="6"/>
        </w:numPr>
        <w:ind w:left="360"/>
        <w:jc w:val="both"/>
        <w:rPr>
          <w:rFonts w:asciiTheme="minorHAnsi" w:hAnsiTheme="minorHAnsi" w:cstheme="minorHAnsi"/>
          <w:sz w:val="24"/>
        </w:rPr>
      </w:pPr>
      <w:r>
        <w:rPr>
          <w:rFonts w:asciiTheme="minorHAnsi" w:hAnsiTheme="minorHAnsi" w:cstheme="minorHAnsi"/>
          <w:sz w:val="24"/>
        </w:rPr>
        <w:t>În conformitate cu prevederile Deciziei nr. 2000/532/CE a Comisiei, preluată în legislația națională prin HG nr. 856/2002, cu modificările și completările ulterioare, lucrările nu presupun utilizarea unor categorii de materiale care să poată fi încadrate în categoria substanțelor toxice și periculoase;</w:t>
      </w:r>
    </w:p>
    <w:p w14:paraId="4971E055" w14:textId="77777777" w:rsidR="00C27437" w:rsidRDefault="001549AB">
      <w:pPr>
        <w:pStyle w:val="ListParagraph"/>
        <w:numPr>
          <w:ilvl w:val="0"/>
          <w:numId w:val="6"/>
        </w:numPr>
        <w:ind w:left="360"/>
        <w:jc w:val="both"/>
        <w:rPr>
          <w:rFonts w:asciiTheme="minorHAnsi" w:hAnsiTheme="minorHAnsi" w:cstheme="minorHAnsi"/>
          <w:sz w:val="24"/>
        </w:rPr>
      </w:pPr>
      <w:r>
        <w:rPr>
          <w:rFonts w:asciiTheme="minorHAnsi" w:hAnsiTheme="minorHAnsi" w:cstheme="minorHAnsi"/>
          <w:sz w:val="24"/>
        </w:rPr>
        <w:t>În ceea ce privește deșeurile recuperabile rezultate pe perioada executării lucrărilor, constructorul se va asigura că cel puțin 70% (în greutate) din deșeurile nepericuloase rezultate din construcții și demolări (cu excepția materialelor naturale definite în categoria 17 05 04 – pământ și pietriș, altele decât cele vizate la rubrica 17 05 03 din lista europeană a deșeurilor stabilită prin Decizia 2000/532/CE a Comisiei, preluată în HG 856/2002, cu modificările și completările ulterioare) și generate pe șantier vor fi pregătite, respectiv sortate pentru reutilizare, reciclare și alte operațiuni de valorificare material, inclusiv operațiuni de umplere care utilizează deșeuri pentru a înlocui alte materiale, în conformitate cu ierarhia deșeurilor și Protocolul UE de gestionare a deșeurilor din construcții și demolări;</w:t>
      </w:r>
    </w:p>
    <w:p w14:paraId="30B7F48C" w14:textId="77777777" w:rsidR="00C27437" w:rsidRDefault="001549AB">
      <w:pPr>
        <w:pStyle w:val="ListParagraph"/>
        <w:numPr>
          <w:ilvl w:val="0"/>
          <w:numId w:val="6"/>
        </w:numPr>
        <w:ind w:left="360"/>
        <w:jc w:val="both"/>
        <w:rPr>
          <w:rFonts w:asciiTheme="minorHAnsi" w:hAnsiTheme="minorHAnsi" w:cstheme="minorHAnsi"/>
          <w:sz w:val="24"/>
        </w:rPr>
      </w:pPr>
      <w:r>
        <w:rPr>
          <w:rFonts w:asciiTheme="minorHAnsi" w:hAnsiTheme="minorHAnsi" w:cstheme="minorHAnsi"/>
          <w:sz w:val="24"/>
        </w:rPr>
        <w:t>Astfel, în conformitate cu reglementările în vigoare, deșeurile rezultate vor fi colectate selectiv în funcție de caracteristicile lor, transportate în depozite autorizate sau predate unor operatori economici autorizați în scopul valorificării lor. În toate etapele proiectului se vor încheia contracte cu societăți autorizate ce vor asigura eliminarea/valorificarea tuturor tipurilor de deșeuri generate. Toate deșeurile generate în urma proiectului, în toate etapele acestuia vor fi depozitate temporar doar pe suprafețe special amenajate în acest sens. În cazul deșeurilor contaminate, se vor lua măsuri speciale de gestionare a acestora (prin depozitarea separată doar pe suprafețe impermeabile), pentru a nu contamina restul deșeurilor sau solul;</w:t>
      </w:r>
    </w:p>
    <w:p w14:paraId="1C2D6645" w14:textId="77777777" w:rsidR="00C27437" w:rsidRDefault="001549AB">
      <w:pPr>
        <w:pStyle w:val="ListParagraph"/>
        <w:numPr>
          <w:ilvl w:val="0"/>
          <w:numId w:val="6"/>
        </w:numPr>
        <w:ind w:left="360"/>
        <w:jc w:val="both"/>
        <w:rPr>
          <w:rFonts w:asciiTheme="minorHAnsi" w:hAnsiTheme="minorHAnsi" w:cstheme="minorHAnsi"/>
          <w:sz w:val="24"/>
        </w:rPr>
      </w:pPr>
      <w:r>
        <w:rPr>
          <w:rFonts w:asciiTheme="minorHAnsi" w:hAnsiTheme="minorHAnsi" w:cstheme="minorHAnsi"/>
          <w:sz w:val="24"/>
        </w:rPr>
        <w:t>În toate etapele proiectului se va menține evidența gestiunii deșeurilor conform OUG 92/2021 privind regimul deșeurilor, cu modificările și completările ulterioare, HG nr. 856/2002 și respectiv Legea nr. 249/2015 privind modalitatea de gestionare a ambalajelor și a deșeurilor de ambalaje, cu modificările și completările ulterioare.</w:t>
      </w:r>
    </w:p>
    <w:p w14:paraId="14B91C84" w14:textId="77777777" w:rsidR="00C27437" w:rsidRDefault="001549AB">
      <w:pPr>
        <w:jc w:val="both"/>
        <w:rPr>
          <w:rFonts w:asciiTheme="minorHAnsi" w:hAnsiTheme="minorHAnsi" w:cstheme="minorHAnsi"/>
          <w:sz w:val="24"/>
        </w:rPr>
      </w:pPr>
      <w:r>
        <w:rPr>
          <w:rFonts w:asciiTheme="minorHAnsi" w:hAnsiTheme="minorHAnsi" w:cstheme="minorHAnsi"/>
          <w:sz w:val="24"/>
        </w:rPr>
        <w:t xml:space="preserve">Sortarea deșeurilor se va realiza la locul de producere, prin grija constructorului. Acesta are obligația, conform HG 856/2002, cu modificările și completările ulterioare, să țină evidența lunară a colectării, stocării provizorii și eliminării deșeurilor către depozitele autorizate. </w:t>
      </w:r>
    </w:p>
    <w:p w14:paraId="1C87B751" w14:textId="77777777" w:rsidR="00C27437" w:rsidRDefault="00C27437">
      <w:pPr>
        <w:jc w:val="both"/>
        <w:rPr>
          <w:rFonts w:asciiTheme="minorHAnsi" w:hAnsiTheme="minorHAnsi" w:cstheme="minorHAnsi"/>
          <w:sz w:val="24"/>
        </w:rPr>
      </w:pPr>
    </w:p>
    <w:p w14:paraId="1D905D38" w14:textId="77777777" w:rsidR="00C27437" w:rsidRDefault="001549AB">
      <w:pPr>
        <w:jc w:val="both"/>
        <w:rPr>
          <w:rFonts w:asciiTheme="minorHAnsi" w:hAnsiTheme="minorHAnsi" w:cstheme="minorHAnsi"/>
          <w:sz w:val="24"/>
        </w:rPr>
      </w:pPr>
      <w:r>
        <w:rPr>
          <w:rFonts w:asciiTheme="minorHAnsi" w:hAnsiTheme="minorHAnsi" w:cstheme="minorHAnsi"/>
          <w:b/>
          <w:bCs/>
          <w:snapToGrid w:val="0"/>
          <w:sz w:val="24"/>
        </w:rPr>
        <w:t>Referitor la obiectivul de mediu 5</w:t>
      </w:r>
      <w:r>
        <w:rPr>
          <w:rFonts w:asciiTheme="minorHAnsi" w:hAnsiTheme="minorHAnsi" w:cstheme="minorHAnsi"/>
          <w:sz w:val="24"/>
        </w:rPr>
        <w:t xml:space="preserve"> </w:t>
      </w:r>
      <w:r>
        <w:rPr>
          <w:rFonts w:asciiTheme="minorHAnsi" w:hAnsiTheme="minorHAnsi" w:cstheme="minorHAnsi"/>
          <w:i/>
          <w:iCs/>
          <w:sz w:val="24"/>
        </w:rPr>
        <w:t>Prevenirea și controlul poluării în aer, apă sau sol</w:t>
      </w:r>
      <w:r>
        <w:rPr>
          <w:rFonts w:asciiTheme="minorHAnsi" w:hAnsiTheme="minorHAnsi" w:cstheme="minorHAnsi"/>
          <w:sz w:val="24"/>
        </w:rPr>
        <w:t xml:space="preserve"> Implementarea proiectelor se va face cu respectarea condițiilor de protecție a factorilor de mediu (inclusiv apă, aer și sol) potențial afectați stabilite prin actele de mediu emise în conformitate cu Directiva EIA.</w:t>
      </w:r>
    </w:p>
    <w:p w14:paraId="4654E910" w14:textId="77777777" w:rsidR="00C27437" w:rsidRDefault="001549AB">
      <w:pPr>
        <w:jc w:val="both"/>
        <w:rPr>
          <w:rFonts w:asciiTheme="minorHAnsi" w:hAnsiTheme="minorHAnsi" w:cstheme="minorHAnsi"/>
          <w:sz w:val="24"/>
        </w:rPr>
      </w:pPr>
      <w:r>
        <w:rPr>
          <w:rFonts w:asciiTheme="minorHAnsi" w:hAnsiTheme="minorHAnsi" w:cstheme="minorHAnsi"/>
          <w:sz w:val="24"/>
        </w:rPr>
        <w:t xml:space="preserve">În ceea ce privește vehiculele rutiere din categoria M, anvelopele sunt conforme cu normele de zgomot de rulaj din cea mai populată clasă și cu </w:t>
      </w:r>
      <w:r>
        <w:rPr>
          <w:rFonts w:asciiTheme="minorHAnsi" w:hAnsiTheme="minorHAnsi" w:cstheme="minorHAnsi"/>
          <w:sz w:val="24"/>
          <w:lang w:val="en-US"/>
        </w:rPr>
        <w:t>Rolling Resistance Coefficient</w:t>
      </w:r>
      <w:r>
        <w:rPr>
          <w:rFonts w:asciiTheme="minorHAnsi" w:hAnsiTheme="minorHAnsi" w:cstheme="minorHAnsi"/>
          <w:sz w:val="24"/>
        </w:rPr>
        <w:t xml:space="preserve"> (care </w:t>
      </w:r>
      <w:r>
        <w:rPr>
          <w:rFonts w:asciiTheme="minorHAnsi" w:hAnsiTheme="minorHAnsi" w:cstheme="minorHAnsi"/>
          <w:sz w:val="24"/>
        </w:rPr>
        <w:lastRenderedPageBreak/>
        <w:t>influențează eficiența energetică a vehiculului) în două cele mai populate clase așa cum este prevăzut în Regulamentul 740 / 2020 al Parlamentului European și al Consiliului și care se pot verifica prin EPREL (</w:t>
      </w:r>
      <w:r>
        <w:rPr>
          <w:rFonts w:asciiTheme="minorHAnsi" w:hAnsiTheme="minorHAnsi" w:cstheme="minorHAnsi"/>
          <w:sz w:val="24"/>
          <w:lang w:val="en-US"/>
        </w:rPr>
        <w:t>European product registry for Energy Labeling</w:t>
      </w:r>
      <w:r>
        <w:rPr>
          <w:rFonts w:asciiTheme="minorHAnsi" w:hAnsiTheme="minorHAnsi" w:cstheme="minorHAnsi"/>
          <w:sz w:val="24"/>
        </w:rPr>
        <w:t>). Acolo unde este cazul, vehiculele vor respecta cele mai recente norme EURO VI (</w:t>
      </w:r>
      <w:r>
        <w:rPr>
          <w:rFonts w:asciiTheme="minorHAnsi" w:hAnsiTheme="minorHAnsi" w:cstheme="minorHAnsi"/>
          <w:sz w:val="24"/>
          <w:lang w:val="en-US"/>
        </w:rPr>
        <w:t xml:space="preserve">Heavy duty emission type approval) </w:t>
      </w:r>
      <w:r>
        <w:rPr>
          <w:rFonts w:asciiTheme="minorHAnsi" w:hAnsiTheme="minorHAnsi" w:cstheme="minorHAnsi"/>
          <w:sz w:val="24"/>
        </w:rPr>
        <w:t>în conformitate cu Regulamentul EC 595 / 2009.</w:t>
      </w:r>
    </w:p>
    <w:p w14:paraId="427DDBBC" w14:textId="77777777" w:rsidR="00C27437" w:rsidRDefault="001549AB">
      <w:pPr>
        <w:spacing w:before="0" w:after="0"/>
        <w:jc w:val="both"/>
        <w:rPr>
          <w:rFonts w:asciiTheme="minorHAnsi" w:hAnsiTheme="minorHAnsi" w:cstheme="minorHAnsi"/>
          <w:b/>
          <w:bCs/>
          <w:sz w:val="24"/>
        </w:rPr>
      </w:pPr>
      <w:r>
        <w:rPr>
          <w:rFonts w:asciiTheme="minorHAnsi" w:hAnsiTheme="minorHAnsi" w:cstheme="minorHAnsi"/>
          <w:b/>
          <w:bCs/>
          <w:sz w:val="24"/>
        </w:rPr>
        <w:t xml:space="preserve">Aerul </w:t>
      </w:r>
    </w:p>
    <w:p w14:paraId="71639BBA" w14:textId="77777777" w:rsidR="00C27437" w:rsidRDefault="001549AB">
      <w:pPr>
        <w:spacing w:before="0" w:after="0"/>
        <w:jc w:val="both"/>
        <w:rPr>
          <w:rFonts w:asciiTheme="minorHAnsi" w:hAnsiTheme="minorHAnsi" w:cstheme="minorHAnsi"/>
          <w:sz w:val="24"/>
        </w:rPr>
      </w:pPr>
      <w:r>
        <w:rPr>
          <w:rFonts w:asciiTheme="minorHAnsi" w:hAnsiTheme="minorHAnsi" w:cstheme="minorHAnsi"/>
          <w:sz w:val="24"/>
        </w:rPr>
        <w:t xml:space="preserve">În cea mai mare parte, sursele de emisie a poluanților atmosferici vor fi surse la sol libere, deschise și mobile sau staționare, difuze/dirijate. </w:t>
      </w:r>
    </w:p>
    <w:p w14:paraId="155A2602" w14:textId="77777777" w:rsidR="00C27437" w:rsidRDefault="001549AB">
      <w:pPr>
        <w:jc w:val="both"/>
        <w:rPr>
          <w:rFonts w:asciiTheme="minorHAnsi" w:hAnsiTheme="minorHAnsi" w:cstheme="minorHAnsi"/>
          <w:sz w:val="24"/>
        </w:rPr>
      </w:pPr>
      <w:r>
        <w:rPr>
          <w:rFonts w:asciiTheme="minorHAnsi" w:hAnsiTheme="minorHAnsi" w:cstheme="minorHAnsi"/>
          <w:sz w:val="24"/>
        </w:rPr>
        <w:t>Activitatea de realizare a lucrărilor de construcție include deopotrivă și surse mobile de emisii, reprezentate de utilajele necesare desfășurării lucrărilor, de vehicule care vor asigura transportul materialelor de construcții, precum și de aprovizionare cu materiale necesare lucrărilor de construcție, dar și vehiculele necesare evacuării deșeurilor de pe amplasament. Funcționarea acestora va fi intermitentă, în funcție de programul de lucru și de graficul lucrărilor.</w:t>
      </w:r>
    </w:p>
    <w:p w14:paraId="3E70E2E2" w14:textId="77777777" w:rsidR="00C27437" w:rsidRDefault="001549AB">
      <w:pPr>
        <w:jc w:val="both"/>
        <w:rPr>
          <w:rFonts w:asciiTheme="minorHAnsi" w:hAnsiTheme="minorHAnsi" w:cstheme="minorHAnsi"/>
          <w:sz w:val="24"/>
        </w:rPr>
      </w:pPr>
      <w:r>
        <w:rPr>
          <w:rFonts w:asciiTheme="minorHAnsi" w:hAnsiTheme="minorHAnsi" w:cstheme="minorHAnsi"/>
          <w:sz w:val="24"/>
        </w:rPr>
        <w:t xml:space="preserve">Cu toate acestea, se estimează că poluarea aerului în timpul perioadei de execuție a lucrărilor nu depășește limitele maxime permise, este temporară (în timpul exercitării lucrărilor), intermitentă (în funcție de programul de lucru și de graficul lucrărilor), nu este concentrată doar în frontul de lucru (unele surse sunt mobile) nefiind de natură să afecteze semnificativ acest obiectiv de mediu. </w:t>
      </w:r>
    </w:p>
    <w:p w14:paraId="0BBCCEDF" w14:textId="77777777" w:rsidR="00C27437" w:rsidRDefault="001549AB">
      <w:pPr>
        <w:jc w:val="both"/>
        <w:rPr>
          <w:rFonts w:asciiTheme="minorHAnsi" w:hAnsiTheme="minorHAnsi" w:cstheme="minorHAnsi"/>
          <w:sz w:val="24"/>
        </w:rPr>
      </w:pPr>
      <w:r>
        <w:rPr>
          <w:rFonts w:asciiTheme="minorHAnsi" w:hAnsiTheme="minorHAnsi" w:cstheme="minorHAnsi"/>
          <w:sz w:val="24"/>
        </w:rPr>
        <w:t xml:space="preserve">Pe cât posibil se vor lua măsuri de atenuare, astfel că lucrările aferente proiectului vor fi realizate cu utilaje mai puțin poluante. </w:t>
      </w:r>
    </w:p>
    <w:p w14:paraId="65590186" w14:textId="77777777" w:rsidR="00C27437" w:rsidRDefault="001549AB">
      <w:pPr>
        <w:spacing w:before="0" w:after="0"/>
        <w:jc w:val="both"/>
        <w:rPr>
          <w:rFonts w:asciiTheme="minorHAnsi" w:hAnsiTheme="minorHAnsi" w:cstheme="minorHAnsi"/>
          <w:b/>
          <w:bCs/>
          <w:sz w:val="24"/>
        </w:rPr>
      </w:pPr>
      <w:r>
        <w:rPr>
          <w:rFonts w:asciiTheme="minorHAnsi" w:hAnsiTheme="minorHAnsi" w:cstheme="minorHAnsi"/>
          <w:b/>
          <w:bCs/>
          <w:sz w:val="24"/>
        </w:rPr>
        <w:t>Apa</w:t>
      </w:r>
    </w:p>
    <w:p w14:paraId="229C5A95" w14:textId="77777777" w:rsidR="00C27437" w:rsidRDefault="001549AB">
      <w:pPr>
        <w:spacing w:before="0" w:after="0"/>
        <w:jc w:val="both"/>
        <w:rPr>
          <w:rFonts w:asciiTheme="minorHAnsi" w:hAnsiTheme="minorHAnsi" w:cstheme="minorHAnsi"/>
          <w:sz w:val="24"/>
        </w:rPr>
      </w:pPr>
      <w:r>
        <w:rPr>
          <w:rFonts w:asciiTheme="minorHAnsi" w:hAnsiTheme="minorHAnsi" w:cstheme="minorHAnsi"/>
          <w:sz w:val="24"/>
        </w:rPr>
        <w:t xml:space="preserve">Pe parcursul etapei de execuție, se vor lua măsurile necesare astfel încât deșeurile rezultate din demontări/demolări, precum și materialele pentru construire, să fie corect depozitate pentru a se evita infiltrațiile în stratul acvifer sau în apele de suprafață, urmare a antrenării acestora de către apele pluviale sau de către vânt. </w:t>
      </w:r>
    </w:p>
    <w:p w14:paraId="634BC4FE" w14:textId="77777777" w:rsidR="00C27437" w:rsidRDefault="001549AB">
      <w:pPr>
        <w:jc w:val="both"/>
        <w:rPr>
          <w:rFonts w:asciiTheme="minorHAnsi" w:hAnsiTheme="minorHAnsi" w:cstheme="minorHAnsi"/>
          <w:sz w:val="24"/>
        </w:rPr>
      </w:pPr>
      <w:r>
        <w:rPr>
          <w:rFonts w:asciiTheme="minorHAnsi" w:hAnsiTheme="minorHAnsi" w:cstheme="minorHAnsi"/>
          <w:sz w:val="24"/>
        </w:rPr>
        <w:t>Se va asigura formarea periodică a tuturor lucrătorilor de la fața locului pentru a se asigura evitarea scurgerilor accidentale de substanțe chimice, carburanți și uleiuri provenite de la funcționarea utilajelor implicate în lucrările de construcție sau datorate manevrării defectuoase a autovehiculelor de transport.</w:t>
      </w:r>
    </w:p>
    <w:p w14:paraId="6CD12D52" w14:textId="77777777" w:rsidR="00C27437" w:rsidRDefault="001549AB">
      <w:pPr>
        <w:jc w:val="both"/>
        <w:rPr>
          <w:rFonts w:asciiTheme="minorHAnsi" w:hAnsiTheme="minorHAnsi" w:cstheme="minorHAnsi"/>
          <w:sz w:val="24"/>
        </w:rPr>
      </w:pPr>
      <w:r>
        <w:rPr>
          <w:rFonts w:asciiTheme="minorHAnsi" w:hAnsiTheme="minorHAnsi" w:cstheme="minorHAnsi"/>
          <w:sz w:val="24"/>
        </w:rPr>
        <w:t xml:space="preserve">Funcționalitatea unor utilaje ce utilizează motoare cu combustie internă în preajma corpurilor de apă conțin un de risc inerent în cazul unor accidente, ce pot astfel conduce la contaminarea punctiformă și temporară a corpurilor de apă de suprafață, însă acest risc poate fi adresat în cadrul unui plan de management de mediu (PMM), elaborat înainte de începerea etapei de execuție a proiectului. </w:t>
      </w:r>
    </w:p>
    <w:p w14:paraId="2FC495F5" w14:textId="77777777" w:rsidR="00C27437" w:rsidRDefault="001549AB">
      <w:pPr>
        <w:jc w:val="both"/>
        <w:rPr>
          <w:rFonts w:asciiTheme="minorHAnsi" w:hAnsiTheme="minorHAnsi" w:cstheme="minorHAnsi"/>
          <w:sz w:val="24"/>
        </w:rPr>
      </w:pPr>
      <w:r>
        <w:rPr>
          <w:rFonts w:asciiTheme="minorHAnsi" w:hAnsiTheme="minorHAnsi" w:cstheme="minorHAnsi"/>
          <w:sz w:val="24"/>
        </w:rPr>
        <w:t xml:space="preserve">În etapa de dezafectare a proiectului, potențialele surse de poluare a apei vor fi similare cu cele din etapa de construcție, lucrările fiind realizate cu aceleași tipuri de utilaje. </w:t>
      </w:r>
    </w:p>
    <w:p w14:paraId="23B99286" w14:textId="77777777" w:rsidR="00C27437" w:rsidRDefault="001549AB">
      <w:pPr>
        <w:jc w:val="both"/>
        <w:rPr>
          <w:rFonts w:asciiTheme="minorHAnsi" w:hAnsiTheme="minorHAnsi" w:cstheme="minorHAnsi"/>
          <w:sz w:val="24"/>
        </w:rPr>
      </w:pPr>
      <w:r>
        <w:rPr>
          <w:rFonts w:asciiTheme="minorHAnsi" w:hAnsiTheme="minorHAnsi" w:cstheme="minorHAnsi"/>
          <w:sz w:val="24"/>
        </w:rPr>
        <w:t>Utilizarea substanțelor chimice</w:t>
      </w:r>
    </w:p>
    <w:p w14:paraId="2136F333" w14:textId="77777777" w:rsidR="00C27437" w:rsidRDefault="001549AB">
      <w:pPr>
        <w:jc w:val="both"/>
        <w:rPr>
          <w:rFonts w:asciiTheme="minorHAnsi" w:hAnsiTheme="minorHAnsi" w:cstheme="minorHAnsi"/>
          <w:sz w:val="24"/>
        </w:rPr>
      </w:pPr>
      <w:r>
        <w:rPr>
          <w:rFonts w:asciiTheme="minorHAnsi" w:hAnsiTheme="minorHAnsi" w:cstheme="minorHAnsi"/>
          <w:sz w:val="24"/>
        </w:rPr>
        <w:t>De asemenea, în ceea ce privește utilizarea și prezența substanțelor chimice, activitatea nu va utiliza:</w:t>
      </w:r>
    </w:p>
    <w:p w14:paraId="541CC12B" w14:textId="77777777" w:rsidR="00C27437" w:rsidRDefault="001549AB">
      <w:pPr>
        <w:spacing w:before="0" w:after="0"/>
        <w:ind w:left="720"/>
        <w:jc w:val="both"/>
        <w:rPr>
          <w:rFonts w:asciiTheme="minorHAnsi" w:hAnsiTheme="minorHAnsi" w:cstheme="minorHAnsi"/>
          <w:sz w:val="24"/>
        </w:rPr>
      </w:pPr>
      <w:r>
        <w:rPr>
          <w:rFonts w:asciiTheme="minorHAnsi" w:hAnsiTheme="minorHAnsi" w:cstheme="minorHAnsi"/>
          <w:sz w:val="24"/>
        </w:rPr>
        <w:lastRenderedPageBreak/>
        <w:t>(a) ca atare, în amestecuri sau în articole, substanțele enumerate în anexa I sau anexa II la Regulamentul (UE) 2019/1021 al Parlamentului European și al Consiliului , cu excepția cazului în care substanțele sunt prezente ca urme neintenționate de contaminant;</w:t>
      </w:r>
    </w:p>
    <w:p w14:paraId="6E2B800F" w14:textId="77777777" w:rsidR="00C27437" w:rsidRDefault="001549AB">
      <w:pPr>
        <w:spacing w:before="0" w:after="0"/>
        <w:ind w:left="720"/>
        <w:jc w:val="both"/>
        <w:rPr>
          <w:rFonts w:asciiTheme="minorHAnsi" w:hAnsiTheme="minorHAnsi" w:cstheme="minorHAnsi"/>
          <w:sz w:val="24"/>
        </w:rPr>
      </w:pPr>
      <w:r>
        <w:rPr>
          <w:rFonts w:asciiTheme="minorHAnsi" w:hAnsiTheme="minorHAnsi" w:cstheme="minorHAnsi"/>
          <w:sz w:val="24"/>
        </w:rPr>
        <w:t>(b) mercurul și a compușii mercurului, amestecurile acestora și a produselor cu adaos de mercur, astfel cum sunt definite la articolul 2 din Regulamentul (UE) 2017/852 al Parlamentului European și al Consiliului;</w:t>
      </w:r>
    </w:p>
    <w:p w14:paraId="15DCBFCE" w14:textId="77777777" w:rsidR="00C27437" w:rsidRDefault="001549AB">
      <w:pPr>
        <w:spacing w:before="0" w:after="0"/>
        <w:ind w:left="720"/>
        <w:jc w:val="both"/>
        <w:rPr>
          <w:rFonts w:asciiTheme="minorHAnsi" w:hAnsiTheme="minorHAnsi" w:cstheme="minorHAnsi"/>
          <w:sz w:val="24"/>
        </w:rPr>
      </w:pPr>
      <w:r>
        <w:rPr>
          <w:rFonts w:asciiTheme="minorHAnsi" w:hAnsiTheme="minorHAnsi" w:cstheme="minorHAnsi"/>
          <w:sz w:val="24"/>
        </w:rPr>
        <w:t>(c) ca atare, în amestecuri sau în articole, substanțele enumerate în anexa I sau anexa II la Regulamentul (CE) nr. 1005/2009 al Parlamentului European și al Consiliului ;</w:t>
      </w:r>
    </w:p>
    <w:p w14:paraId="50B6FB28" w14:textId="77777777" w:rsidR="00C27437" w:rsidRDefault="001549AB">
      <w:pPr>
        <w:spacing w:before="0" w:after="0"/>
        <w:ind w:left="720"/>
        <w:jc w:val="both"/>
        <w:rPr>
          <w:rFonts w:asciiTheme="minorHAnsi" w:hAnsiTheme="minorHAnsi" w:cstheme="minorHAnsi"/>
          <w:sz w:val="24"/>
        </w:rPr>
      </w:pPr>
      <w:r>
        <w:rPr>
          <w:rFonts w:asciiTheme="minorHAnsi" w:hAnsiTheme="minorHAnsi" w:cstheme="minorHAnsi"/>
          <w:sz w:val="24"/>
        </w:rPr>
        <w:t>(d) ca atare, în amestecuri sau în articole, substanțele enumerate în anexa II la Directiva 2011/65/UE a Parlamentului European și a Consiliului , cu excepția cazului în care se respectă pe deplin articolul 4 alineatul (1) din directiva respectivă;</w:t>
      </w:r>
    </w:p>
    <w:p w14:paraId="16CE05A6" w14:textId="77777777" w:rsidR="00C27437" w:rsidRDefault="001549AB">
      <w:pPr>
        <w:spacing w:before="0" w:after="0"/>
        <w:ind w:left="720"/>
        <w:jc w:val="both"/>
        <w:rPr>
          <w:rFonts w:asciiTheme="minorHAnsi" w:hAnsiTheme="minorHAnsi" w:cstheme="minorHAnsi"/>
          <w:sz w:val="24"/>
        </w:rPr>
      </w:pPr>
      <w:r>
        <w:rPr>
          <w:rFonts w:asciiTheme="minorHAnsi" w:hAnsiTheme="minorHAnsi" w:cstheme="minorHAnsi"/>
          <w:sz w:val="24"/>
        </w:rPr>
        <w:t>(e) ca atare, în amestecuri sau în articole, substanțele enumerate în anexa XVII la Regulamentul (CE) nr. 1907/2006 al Parlamentului European și al Consiliului, cu excepția cazului în care se respectă pe deplin condițiile specificate în anexa respectivă;</w:t>
      </w:r>
    </w:p>
    <w:p w14:paraId="78BB7C28" w14:textId="77777777" w:rsidR="00C27437" w:rsidRDefault="001549AB">
      <w:pPr>
        <w:spacing w:before="0" w:after="0"/>
        <w:ind w:left="720"/>
        <w:jc w:val="both"/>
        <w:rPr>
          <w:rFonts w:asciiTheme="minorHAnsi" w:hAnsiTheme="minorHAnsi" w:cstheme="minorHAnsi"/>
          <w:sz w:val="24"/>
        </w:rPr>
      </w:pPr>
      <w:r>
        <w:rPr>
          <w:rFonts w:asciiTheme="minorHAnsi" w:hAnsiTheme="minorHAnsi" w:cstheme="minorHAnsi"/>
          <w:sz w:val="24"/>
        </w:rPr>
        <w:t>(f) unor substanțe care, fie singure, fie în amestecuri, fie ca parte dintr-un articol, îndeplinesc criteriile prevăzute la articolul 57 din Regulamentul (CE) 1907/2006 și sunt identificare în conformitate cu articolul 59 alineatul (1) din regulamentul respectiv, cu excepția cazului în care s-a dovedit că utilizarea lor este esențială pentru societate;</w:t>
      </w:r>
    </w:p>
    <w:p w14:paraId="4B96F5FA" w14:textId="77777777" w:rsidR="00C27437" w:rsidRDefault="001549AB">
      <w:pPr>
        <w:spacing w:before="0" w:after="0"/>
        <w:ind w:left="720"/>
        <w:jc w:val="both"/>
        <w:rPr>
          <w:rFonts w:asciiTheme="minorHAnsi" w:hAnsiTheme="minorHAnsi" w:cstheme="minorHAnsi"/>
          <w:sz w:val="24"/>
        </w:rPr>
      </w:pPr>
      <w:r>
        <w:rPr>
          <w:rFonts w:asciiTheme="minorHAnsi" w:hAnsiTheme="minorHAnsi" w:cstheme="minorHAnsi"/>
          <w:sz w:val="24"/>
        </w:rPr>
        <w:t>(g) altor substanțe care, fie singure, fie în amestecuri, fie ca parte dintr-un articol, îndeplinesc criteriile prevăzute la articolul 57 din Regulamentul (CE) 1907/2006, cu excepția cazului în care s-a dovedit că utilizarea lor este esențială pentru societate.</w:t>
      </w:r>
    </w:p>
    <w:p w14:paraId="796763F0" w14:textId="77777777" w:rsidR="00C27437" w:rsidRDefault="001549AB">
      <w:pPr>
        <w:jc w:val="both"/>
        <w:rPr>
          <w:rFonts w:asciiTheme="minorHAnsi" w:hAnsiTheme="minorHAnsi" w:cstheme="minorHAnsi"/>
          <w:sz w:val="24"/>
        </w:rPr>
      </w:pPr>
      <w:r>
        <w:rPr>
          <w:rFonts w:asciiTheme="minorHAnsi" w:hAnsiTheme="minorHAnsi" w:cstheme="minorHAnsi"/>
          <w:sz w:val="24"/>
        </w:rPr>
        <w:t xml:space="preserve">Deșeurile solide, materialul rezultat din decopertări, excavații, combustibili sau uleiurile nu se vor deversa în albia cursului de apă sau lacul de acumulare; se va proceda la colectarea selectivă a deșeurilor în vederea valorificării și/sau eliminării prin firme autorizate. Pe perioada execuției lucrărilor se va acorda o atenție deosebită scurgerilor de carburanți și se va asigura un management al deșeurilor adecvat – depozitarea deșeurilor se va realiza în locuri bine stabilite, cu asigurarea protecției adecvate pentru a fi evitate infiltrațiile și poluarea acviferelor în caz de ploaie. Se vor utiliza utilaje și mijloace de transport performante, iar transportul materialelor de va realiza cu autovehicule prevăzute cu prelată. </w:t>
      </w:r>
    </w:p>
    <w:p w14:paraId="0E71F284" w14:textId="77777777" w:rsidR="00C27437" w:rsidRDefault="00C27437">
      <w:pPr>
        <w:jc w:val="both"/>
        <w:rPr>
          <w:rFonts w:asciiTheme="minorHAnsi" w:hAnsiTheme="minorHAnsi" w:cstheme="minorHAnsi"/>
          <w:sz w:val="24"/>
        </w:rPr>
      </w:pPr>
    </w:p>
    <w:p w14:paraId="44715D09" w14:textId="77777777" w:rsidR="00C27437" w:rsidRDefault="001549AB">
      <w:pPr>
        <w:spacing w:before="0" w:after="0"/>
        <w:jc w:val="both"/>
        <w:rPr>
          <w:rFonts w:asciiTheme="minorHAnsi" w:hAnsiTheme="minorHAnsi" w:cstheme="minorHAnsi"/>
          <w:sz w:val="24"/>
        </w:rPr>
      </w:pPr>
      <w:r>
        <w:rPr>
          <w:rFonts w:asciiTheme="minorHAnsi" w:hAnsiTheme="minorHAnsi" w:cstheme="minorHAnsi"/>
          <w:b/>
          <w:bCs/>
          <w:snapToGrid w:val="0"/>
          <w:sz w:val="24"/>
        </w:rPr>
        <w:t xml:space="preserve">Referitor la obiectivul de mediu 6 </w:t>
      </w:r>
      <w:r>
        <w:rPr>
          <w:rFonts w:asciiTheme="minorHAnsi" w:hAnsiTheme="minorHAnsi" w:cstheme="minorHAnsi"/>
          <w:i/>
          <w:iCs/>
          <w:sz w:val="24"/>
        </w:rPr>
        <w:t>Protecția și restaurarea biodiversității și a ecosistemelor</w:t>
      </w:r>
      <w:r>
        <w:rPr>
          <w:rFonts w:asciiTheme="minorHAnsi" w:hAnsiTheme="minorHAnsi" w:cstheme="minorHAnsi"/>
          <w:sz w:val="24"/>
        </w:rPr>
        <w:t xml:space="preserve"> </w:t>
      </w:r>
    </w:p>
    <w:p w14:paraId="4C0B0D1E" w14:textId="77777777" w:rsidR="00C27437" w:rsidRDefault="001549AB">
      <w:pPr>
        <w:spacing w:before="0" w:after="0"/>
        <w:jc w:val="both"/>
        <w:rPr>
          <w:rFonts w:asciiTheme="minorHAnsi" w:hAnsiTheme="minorHAnsi" w:cstheme="minorHAnsi"/>
          <w:sz w:val="24"/>
        </w:rPr>
      </w:pPr>
      <w:r>
        <w:rPr>
          <w:rFonts w:asciiTheme="minorHAnsi" w:hAnsiTheme="minorHAnsi" w:cstheme="minorHAnsi"/>
          <w:sz w:val="24"/>
        </w:rPr>
        <w:t>Impactul potențial al proiectelor asupra mediului, inclusiv al lucrărilor localizate în vecinătatea sau în siturile Natura 2000, este evaluat în conformitate cu prevederile Directivelor EIA, Directivei Habitate și Directivei Păsări, fiind urmărit în special potențialul impact al proiectului asupra obiectivelor specifice/măsurilor minime de conservare stabilite pentru speciile și habitatele pentru care au fost desemnate siturile, precum și evaluarea impactului cumulat (între investițiile propuse, existente sau reglementate) asupra factorilor de mediu, inclusiv la nivelul siturilor Natura 2000.</w:t>
      </w:r>
    </w:p>
    <w:p w14:paraId="5F03127C" w14:textId="77777777" w:rsidR="00C27437" w:rsidRDefault="001549AB">
      <w:pPr>
        <w:jc w:val="both"/>
        <w:rPr>
          <w:rFonts w:asciiTheme="minorHAnsi" w:hAnsiTheme="minorHAnsi" w:cstheme="minorHAnsi"/>
          <w:sz w:val="24"/>
        </w:rPr>
      </w:pPr>
      <w:r>
        <w:rPr>
          <w:rFonts w:asciiTheme="minorHAnsi" w:hAnsiTheme="minorHAnsi" w:cstheme="minorHAnsi"/>
          <w:sz w:val="24"/>
        </w:rPr>
        <w:t>Proiectele vor pune obligatoriu în aplicare toate măsurile de atenuare fezabile din punct de vedere tehnic și relevante din punct de vedere ecologic pentru a reduce impactul negativ asupra apei, precum și asupra habitatelor și a speciilor protejate care depind direct de apă.</w:t>
      </w:r>
    </w:p>
    <w:p w14:paraId="13E9100B" w14:textId="77777777" w:rsidR="00C27437" w:rsidRDefault="001549AB">
      <w:pPr>
        <w:jc w:val="both"/>
        <w:rPr>
          <w:rFonts w:asciiTheme="minorHAnsi" w:hAnsiTheme="minorHAnsi" w:cstheme="minorHAnsi"/>
          <w:sz w:val="24"/>
        </w:rPr>
      </w:pPr>
      <w:r>
        <w:rPr>
          <w:rFonts w:asciiTheme="minorHAnsi" w:hAnsiTheme="minorHAnsi" w:cstheme="minorHAnsi"/>
          <w:sz w:val="24"/>
        </w:rPr>
        <w:lastRenderedPageBreak/>
        <w:t xml:space="preserve">Infrastructurile nu vor fi construite pe: </w:t>
      </w:r>
    </w:p>
    <w:p w14:paraId="6F19262C" w14:textId="77777777" w:rsidR="00C27437" w:rsidRDefault="001549AB">
      <w:pPr>
        <w:pStyle w:val="ListParagraph"/>
        <w:numPr>
          <w:ilvl w:val="0"/>
          <w:numId w:val="10"/>
        </w:numPr>
        <w:jc w:val="both"/>
        <w:rPr>
          <w:rFonts w:asciiTheme="minorHAnsi" w:hAnsiTheme="minorHAnsi" w:cstheme="minorHAnsi"/>
          <w:sz w:val="24"/>
        </w:rPr>
      </w:pPr>
      <w:r>
        <w:rPr>
          <w:rFonts w:asciiTheme="minorHAnsi" w:hAnsiTheme="minorHAnsi" w:cstheme="minorHAnsi"/>
          <w:sz w:val="24"/>
        </w:rPr>
        <w:t xml:space="preserve">Teren arabil și terenuri cultivabile cu un nivel moderat, până la ridicat al fertilității solului și cu biodiversitate subterană, astfel cum se menționează în studiul UE LUCAS; </w:t>
      </w:r>
    </w:p>
    <w:p w14:paraId="32DA5E52" w14:textId="77777777" w:rsidR="00C27437" w:rsidRDefault="001549AB">
      <w:pPr>
        <w:pStyle w:val="ListParagraph"/>
        <w:numPr>
          <w:ilvl w:val="0"/>
          <w:numId w:val="10"/>
        </w:numPr>
        <w:jc w:val="both"/>
        <w:rPr>
          <w:rFonts w:asciiTheme="minorHAnsi" w:hAnsiTheme="minorHAnsi" w:cstheme="minorHAnsi"/>
          <w:sz w:val="24"/>
        </w:rPr>
      </w:pPr>
      <w:r>
        <w:rPr>
          <w:rFonts w:asciiTheme="minorHAnsi" w:hAnsiTheme="minorHAnsi" w:cstheme="minorHAnsi"/>
          <w:sz w:val="24"/>
        </w:rPr>
        <w:t xml:space="preserve">Terenuri ecologice cu o valoare recunoscută a biodiversității ridicate și terenuri care servesc drept habitat al speciilor pe cale de dispariție (floră și faună) enumerate pe Lista Roșie Europeană sau pe Lista Roșie IUCN; </w:t>
      </w:r>
    </w:p>
    <w:p w14:paraId="7E613ED6" w14:textId="77777777" w:rsidR="00C27437" w:rsidRDefault="001549AB">
      <w:pPr>
        <w:pStyle w:val="ListParagraph"/>
        <w:numPr>
          <w:ilvl w:val="0"/>
          <w:numId w:val="10"/>
        </w:numPr>
        <w:jc w:val="both"/>
        <w:rPr>
          <w:rFonts w:asciiTheme="minorHAnsi" w:hAnsiTheme="minorHAnsi" w:cstheme="minorHAnsi"/>
          <w:sz w:val="24"/>
        </w:rPr>
      </w:pPr>
      <w:r>
        <w:rPr>
          <w:rFonts w:asciiTheme="minorHAnsi" w:hAnsiTheme="minorHAnsi" w:cstheme="minorHAnsi"/>
          <w:sz w:val="24"/>
        </w:rPr>
        <w:t xml:space="preserve">Teren forestier (acoperit sau nu de copaci), alte terenuri împădurite sau terenuri acoperite parțial sau în totalitate sau destinate a fi acoperite de copaci, chiar și atunci când acești copaci nu au atins încă dimensiunea și acoperirea pentru a fi clasificate drept pădure sau alt teren împădurit, definit în conformitate cu definiția FAO a pădurilor. </w:t>
      </w:r>
    </w:p>
    <w:p w14:paraId="73B489C8" w14:textId="77777777" w:rsidR="00C27437" w:rsidRDefault="001549AB">
      <w:pPr>
        <w:jc w:val="both"/>
        <w:rPr>
          <w:rFonts w:asciiTheme="minorHAnsi" w:hAnsiTheme="minorHAnsi" w:cstheme="minorHAnsi"/>
          <w:b/>
          <w:bCs/>
          <w:snapToGrid w:val="0"/>
          <w:sz w:val="24"/>
        </w:rPr>
      </w:pPr>
      <w:r>
        <w:rPr>
          <w:rFonts w:asciiTheme="minorHAnsi" w:hAnsiTheme="minorHAnsi" w:cstheme="minorHAnsi"/>
          <w:b/>
          <w:bCs/>
          <w:snapToGrid w:val="0"/>
          <w:sz w:val="24"/>
        </w:rPr>
        <w:t>Solicitantul își asumă preluarea principiilor „</w:t>
      </w:r>
      <w:r>
        <w:rPr>
          <w:rFonts w:asciiTheme="minorHAnsi" w:hAnsiTheme="minorHAnsi" w:cstheme="minorHAnsi"/>
          <w:b/>
          <w:bCs/>
          <w:snapToGrid w:val="0"/>
          <w:sz w:val="24"/>
          <w:lang w:val="en-US"/>
        </w:rPr>
        <w:t>Do No Significant Harm</w:t>
      </w:r>
      <w:r>
        <w:rPr>
          <w:rFonts w:asciiTheme="minorHAnsi" w:hAnsiTheme="minorHAnsi" w:cstheme="minorHAnsi"/>
          <w:b/>
          <w:bCs/>
          <w:snapToGrid w:val="0"/>
          <w:sz w:val="24"/>
        </w:rPr>
        <w:t>” (DNSH) atât în procesul de elaborare a proiectelor fazele SF/DALI, cât și monitorizarea și justificarea implementării acestor principii în timpul execuției.</w:t>
      </w:r>
    </w:p>
    <w:p w14:paraId="7016A92D" w14:textId="77777777" w:rsidR="00C27437" w:rsidRPr="008E58C0" w:rsidRDefault="001549AB">
      <w:pPr>
        <w:jc w:val="both"/>
        <w:rPr>
          <w:rFonts w:asciiTheme="minorHAnsi" w:hAnsiTheme="minorHAnsi" w:cstheme="minorHAnsi"/>
          <w:b/>
          <w:bCs/>
          <w:snapToGrid w:val="0"/>
          <w:sz w:val="24"/>
        </w:rPr>
      </w:pPr>
      <w:r w:rsidRPr="008E58C0">
        <w:rPr>
          <w:rFonts w:asciiTheme="minorHAnsi" w:hAnsiTheme="minorHAnsi" w:cstheme="minorHAnsi"/>
          <w:b/>
          <w:bCs/>
          <w:snapToGrid w:val="0"/>
          <w:sz w:val="24"/>
        </w:rPr>
        <w:t xml:space="preserve">În cadrul procedurilor de </w:t>
      </w:r>
      <w:r w:rsidRPr="008E58C0">
        <w:rPr>
          <w:rFonts w:asciiTheme="minorHAnsi" w:hAnsiTheme="minorHAnsi" w:cstheme="minorHAnsi"/>
          <w:b/>
          <w:bCs/>
          <w:snapToGrid w:val="0"/>
          <w:sz w:val="24"/>
          <w:u w:val="single"/>
        </w:rPr>
        <w:t>achiziție pentru proiectare fazele SF/DALI,</w:t>
      </w:r>
      <w:r w:rsidRPr="008E58C0">
        <w:rPr>
          <w:rFonts w:asciiTheme="minorHAnsi" w:hAnsiTheme="minorHAnsi" w:cstheme="minorHAnsi"/>
          <w:b/>
          <w:bCs/>
          <w:snapToGrid w:val="0"/>
          <w:sz w:val="24"/>
        </w:rPr>
        <w:t xml:space="preserve"> beneficiarul își asumă să includă în caietele de sarcini și tema de proiectare obligativitatea proiectantului de a trata, corespunzător și în concordanță cu obiectivele de mediu menționate anterior, modalitățile și sarcinile pentru execuția lucrărilor.</w:t>
      </w:r>
    </w:p>
    <w:p w14:paraId="3065165D" w14:textId="77777777" w:rsidR="00C27437" w:rsidRPr="008E58C0" w:rsidRDefault="001549AB">
      <w:pPr>
        <w:jc w:val="both"/>
        <w:rPr>
          <w:rFonts w:asciiTheme="minorHAnsi" w:hAnsiTheme="minorHAnsi" w:cstheme="minorHAnsi"/>
          <w:snapToGrid w:val="0"/>
          <w:sz w:val="24"/>
        </w:rPr>
      </w:pPr>
      <w:r w:rsidRPr="008E58C0">
        <w:rPr>
          <w:rFonts w:asciiTheme="minorHAnsi" w:hAnsiTheme="minorHAnsi" w:cstheme="minorHAnsi"/>
          <w:b/>
          <w:bCs/>
          <w:snapToGrid w:val="0"/>
          <w:sz w:val="24"/>
        </w:rPr>
        <w:t xml:space="preserve">În cadrul procedurilor de achiziție pentru </w:t>
      </w:r>
      <w:r w:rsidRPr="008E58C0">
        <w:rPr>
          <w:rFonts w:asciiTheme="minorHAnsi" w:hAnsiTheme="minorHAnsi" w:cstheme="minorHAnsi"/>
          <w:b/>
          <w:bCs/>
          <w:snapToGrid w:val="0"/>
          <w:sz w:val="24"/>
          <w:u w:val="single"/>
        </w:rPr>
        <w:t>execuția lucrărilor</w:t>
      </w:r>
      <w:r w:rsidRPr="008E58C0">
        <w:rPr>
          <w:rFonts w:asciiTheme="minorHAnsi" w:hAnsiTheme="minorHAnsi" w:cstheme="minorHAnsi"/>
          <w:b/>
          <w:bCs/>
          <w:snapToGrid w:val="0"/>
          <w:sz w:val="24"/>
        </w:rPr>
        <w:t>, beneficiarul își asumă includerea în caietele de sarcini obligativitatea respectării măsurilor descrise în proiectul de autorizare a construcțiilor, respectiv de execuție în ceea ce privește respectarea principiilor DNSH.</w:t>
      </w:r>
      <w:r w:rsidRPr="008E58C0">
        <w:rPr>
          <w:rFonts w:asciiTheme="minorHAnsi" w:hAnsiTheme="minorHAnsi" w:cstheme="minorHAnsi"/>
          <w:snapToGrid w:val="0"/>
          <w:sz w:val="24"/>
        </w:rPr>
        <w:t xml:space="preserve"> </w:t>
      </w:r>
    </w:p>
    <w:p w14:paraId="3117C0BB" w14:textId="77777777" w:rsidR="00C27437" w:rsidRPr="008E58C0" w:rsidRDefault="001549AB">
      <w:pPr>
        <w:jc w:val="both"/>
        <w:rPr>
          <w:rFonts w:asciiTheme="minorHAnsi" w:hAnsiTheme="minorHAnsi" w:cstheme="minorHAnsi"/>
          <w:snapToGrid w:val="0"/>
          <w:sz w:val="24"/>
        </w:rPr>
      </w:pPr>
      <w:r w:rsidRPr="008E58C0">
        <w:rPr>
          <w:rFonts w:asciiTheme="minorHAnsi" w:hAnsiTheme="minorHAnsi" w:cstheme="minorHAnsi"/>
          <w:snapToGrid w:val="0"/>
          <w:sz w:val="24"/>
        </w:rPr>
        <w:t>Totodată, MAMP va condiționa plățile efectuate către beneficiari de prezentarea următoarelor documente în faza de execuție:</w:t>
      </w:r>
    </w:p>
    <w:p w14:paraId="7749A2B1" w14:textId="77777777" w:rsidR="00C27437" w:rsidRPr="008E58C0" w:rsidRDefault="001549AB">
      <w:pPr>
        <w:pStyle w:val="ListParagraph"/>
        <w:numPr>
          <w:ilvl w:val="0"/>
          <w:numId w:val="2"/>
        </w:numPr>
        <w:ind w:left="567" w:hanging="425"/>
        <w:jc w:val="both"/>
        <w:rPr>
          <w:rFonts w:asciiTheme="minorHAnsi" w:hAnsiTheme="minorHAnsi" w:cstheme="minorHAnsi"/>
          <w:snapToGrid w:val="0"/>
          <w:sz w:val="24"/>
        </w:rPr>
      </w:pPr>
      <w:r w:rsidRPr="008E58C0">
        <w:rPr>
          <w:rFonts w:asciiTheme="minorHAnsi" w:hAnsiTheme="minorHAnsi" w:cstheme="minorHAnsi"/>
          <w:snapToGrid w:val="0"/>
          <w:sz w:val="24"/>
        </w:rPr>
        <w:t>Situație de lucrări cu defalcarea următoare (unde este cazul):</w:t>
      </w:r>
    </w:p>
    <w:p w14:paraId="5EF35B8E" w14:textId="77777777" w:rsidR="00C27437" w:rsidRPr="008E58C0" w:rsidRDefault="001549AB">
      <w:pPr>
        <w:pStyle w:val="ListParagraph"/>
        <w:numPr>
          <w:ilvl w:val="0"/>
          <w:numId w:val="1"/>
        </w:numPr>
        <w:jc w:val="both"/>
        <w:rPr>
          <w:rFonts w:asciiTheme="minorHAnsi" w:hAnsiTheme="minorHAnsi" w:cstheme="minorHAnsi"/>
          <w:snapToGrid w:val="0"/>
          <w:sz w:val="24"/>
        </w:rPr>
      </w:pPr>
      <w:r w:rsidRPr="008E58C0">
        <w:rPr>
          <w:rFonts w:asciiTheme="minorHAnsi" w:hAnsiTheme="minorHAnsi" w:cstheme="minorHAnsi"/>
          <w:snapToGrid w:val="0"/>
          <w:sz w:val="24"/>
        </w:rPr>
        <w:t>Cantitate de materiale desființate ...... mc/mp</w:t>
      </w:r>
    </w:p>
    <w:p w14:paraId="390C4F25" w14:textId="77777777" w:rsidR="00C27437" w:rsidRPr="008E58C0" w:rsidRDefault="001549AB">
      <w:pPr>
        <w:pStyle w:val="ListParagraph"/>
        <w:numPr>
          <w:ilvl w:val="0"/>
          <w:numId w:val="1"/>
        </w:numPr>
        <w:jc w:val="both"/>
        <w:rPr>
          <w:rFonts w:asciiTheme="minorHAnsi" w:hAnsiTheme="minorHAnsi" w:cstheme="minorHAnsi"/>
          <w:snapToGrid w:val="0"/>
          <w:sz w:val="24"/>
        </w:rPr>
      </w:pPr>
      <w:r w:rsidRPr="008E58C0">
        <w:rPr>
          <w:rFonts w:asciiTheme="minorHAnsi" w:hAnsiTheme="minorHAnsi" w:cstheme="minorHAnsi"/>
          <w:snapToGrid w:val="0"/>
          <w:sz w:val="24"/>
        </w:rPr>
        <w:t>Cantitate de materiale reutilizate .......mc/mp</w:t>
      </w:r>
    </w:p>
    <w:p w14:paraId="2845223F" w14:textId="77777777" w:rsidR="00C27437" w:rsidRPr="008E58C0" w:rsidRDefault="001549AB">
      <w:pPr>
        <w:pStyle w:val="ListParagraph"/>
        <w:numPr>
          <w:ilvl w:val="0"/>
          <w:numId w:val="1"/>
        </w:numPr>
        <w:jc w:val="both"/>
        <w:rPr>
          <w:rFonts w:asciiTheme="minorHAnsi" w:hAnsiTheme="minorHAnsi" w:cstheme="minorHAnsi"/>
          <w:snapToGrid w:val="0"/>
          <w:sz w:val="24"/>
        </w:rPr>
      </w:pPr>
      <w:r w:rsidRPr="008E58C0">
        <w:rPr>
          <w:rFonts w:asciiTheme="minorHAnsi" w:hAnsiTheme="minorHAnsi" w:cstheme="minorHAnsi"/>
          <w:snapToGrid w:val="0"/>
          <w:sz w:val="24"/>
        </w:rPr>
        <w:t>Cantitate de materiale reciclate ....... mc/mp</w:t>
      </w:r>
    </w:p>
    <w:p w14:paraId="7F3FA2A0" w14:textId="77777777" w:rsidR="00C27437" w:rsidRPr="008E58C0" w:rsidRDefault="001549AB">
      <w:pPr>
        <w:pStyle w:val="ListParagraph"/>
        <w:numPr>
          <w:ilvl w:val="0"/>
          <w:numId w:val="1"/>
        </w:numPr>
        <w:jc w:val="both"/>
        <w:rPr>
          <w:rFonts w:asciiTheme="minorHAnsi" w:hAnsiTheme="minorHAnsi" w:cstheme="minorHAnsi"/>
          <w:snapToGrid w:val="0"/>
          <w:sz w:val="24"/>
        </w:rPr>
      </w:pPr>
      <w:r w:rsidRPr="008E58C0">
        <w:rPr>
          <w:rFonts w:asciiTheme="minorHAnsi" w:hAnsiTheme="minorHAnsi" w:cstheme="minorHAnsi"/>
          <w:snapToGrid w:val="0"/>
          <w:sz w:val="24"/>
        </w:rPr>
        <w:t>Cantitate de deșeuri ...... mc/mp</w:t>
      </w:r>
    </w:p>
    <w:p w14:paraId="474EC8DD" w14:textId="77777777" w:rsidR="00C27437" w:rsidRPr="008E58C0" w:rsidRDefault="001549AB">
      <w:pPr>
        <w:pStyle w:val="ListParagraph"/>
        <w:numPr>
          <w:ilvl w:val="0"/>
          <w:numId w:val="2"/>
        </w:numPr>
        <w:ind w:left="567" w:hanging="425"/>
        <w:jc w:val="both"/>
        <w:rPr>
          <w:rFonts w:asciiTheme="minorHAnsi" w:hAnsiTheme="minorHAnsi" w:cstheme="minorHAnsi"/>
          <w:snapToGrid w:val="0"/>
          <w:sz w:val="24"/>
        </w:rPr>
      </w:pPr>
      <w:r w:rsidRPr="008E58C0">
        <w:rPr>
          <w:rFonts w:asciiTheme="minorHAnsi" w:hAnsiTheme="minorHAnsi" w:cstheme="minorHAnsi"/>
          <w:snapToGrid w:val="0"/>
          <w:sz w:val="24"/>
        </w:rPr>
        <w:t>Certificare de către firma de gestiune deșeuri cu cantitatea de deșeuri preluate, din care se specifică cantitatea de deșeuri incinerate</w:t>
      </w:r>
    </w:p>
    <w:p w14:paraId="347CA020" w14:textId="77777777" w:rsidR="00C27437" w:rsidRPr="008E58C0" w:rsidRDefault="001549AB">
      <w:pPr>
        <w:pStyle w:val="ListParagraph"/>
        <w:numPr>
          <w:ilvl w:val="0"/>
          <w:numId w:val="2"/>
        </w:numPr>
        <w:ind w:left="567" w:hanging="425"/>
        <w:jc w:val="both"/>
        <w:rPr>
          <w:rFonts w:asciiTheme="minorHAnsi" w:hAnsiTheme="minorHAnsi" w:cstheme="minorHAnsi"/>
          <w:snapToGrid w:val="0"/>
          <w:sz w:val="24"/>
        </w:rPr>
      </w:pPr>
      <w:r w:rsidRPr="008E58C0">
        <w:rPr>
          <w:rFonts w:asciiTheme="minorHAnsi" w:hAnsiTheme="minorHAnsi" w:cstheme="minorHAnsi"/>
          <w:snapToGrid w:val="0"/>
          <w:sz w:val="24"/>
        </w:rPr>
        <w:t>Declarații de performanță pentru produsele pentru construcții, întocmite de producători, sau declarații de conformitate (dacă sunt utilizate produse pentru construcții care fac obiectul unei specificații tehnice nearmonizate) sau agrement tehnic  în construcții (dacă sunt utilizate produse pentru construcții pentru care nu există specificații tehnice armonizate sau specificații tehnice nearmonizate)</w:t>
      </w:r>
    </w:p>
    <w:p w14:paraId="2C17BD4C" w14:textId="77777777" w:rsidR="00C27437" w:rsidRPr="008E58C0" w:rsidRDefault="001549AB">
      <w:pPr>
        <w:pStyle w:val="ListParagraph"/>
        <w:numPr>
          <w:ilvl w:val="0"/>
          <w:numId w:val="2"/>
        </w:numPr>
        <w:ind w:left="567" w:hanging="425"/>
        <w:jc w:val="both"/>
        <w:rPr>
          <w:rFonts w:asciiTheme="minorHAnsi" w:hAnsiTheme="minorHAnsi" w:cstheme="minorHAnsi"/>
          <w:snapToGrid w:val="0"/>
          <w:sz w:val="24"/>
        </w:rPr>
      </w:pPr>
      <w:r w:rsidRPr="008E58C0">
        <w:rPr>
          <w:rFonts w:asciiTheme="minorHAnsi" w:hAnsiTheme="minorHAnsi" w:cstheme="minorHAnsi"/>
          <w:snapToGrid w:val="0"/>
          <w:sz w:val="24"/>
        </w:rPr>
        <w:t xml:space="preserve">Fișă cu date de securitate ale produselor (conform Regulament UE 2015/830) </w:t>
      </w:r>
    </w:p>
    <w:p w14:paraId="25C5E600" w14:textId="77777777" w:rsidR="00C27437" w:rsidRPr="008E58C0" w:rsidRDefault="001549AB">
      <w:pPr>
        <w:pStyle w:val="ListParagraph"/>
        <w:numPr>
          <w:ilvl w:val="0"/>
          <w:numId w:val="2"/>
        </w:numPr>
        <w:ind w:left="567" w:hanging="425"/>
        <w:jc w:val="both"/>
        <w:rPr>
          <w:rFonts w:asciiTheme="minorHAnsi" w:hAnsiTheme="minorHAnsi" w:cstheme="minorHAnsi"/>
          <w:snapToGrid w:val="0"/>
          <w:sz w:val="24"/>
        </w:rPr>
      </w:pPr>
      <w:r w:rsidRPr="008E58C0">
        <w:rPr>
          <w:rFonts w:asciiTheme="minorHAnsi" w:hAnsiTheme="minorHAnsi" w:cstheme="minorHAnsi"/>
          <w:snapToGrid w:val="0"/>
          <w:sz w:val="24"/>
        </w:rPr>
        <w:t>Fișe tehnice ale utilajelor utilizate – măsuri de reducerea poluării</w:t>
      </w:r>
    </w:p>
    <w:p w14:paraId="34155C3A" w14:textId="77777777" w:rsidR="00C27437" w:rsidRDefault="001549AB">
      <w:pPr>
        <w:jc w:val="both"/>
        <w:rPr>
          <w:rFonts w:asciiTheme="minorHAnsi" w:hAnsiTheme="minorHAnsi" w:cstheme="minorHAnsi"/>
          <w:snapToGrid w:val="0"/>
          <w:sz w:val="24"/>
        </w:rPr>
      </w:pPr>
      <w:r>
        <w:rPr>
          <w:rFonts w:asciiTheme="minorHAnsi" w:hAnsiTheme="minorHAnsi" w:cstheme="minorHAnsi"/>
          <w:snapToGrid w:val="0"/>
          <w:sz w:val="24"/>
        </w:rPr>
        <w:t>Intervențiile demonstrează că nu vor cauza prejudicii semnificative și pe termen lung mediului în ceea ce privește economia circulară:</w:t>
      </w:r>
    </w:p>
    <w:p w14:paraId="327FE8D3" w14:textId="77777777" w:rsidR="00C27437" w:rsidRDefault="001549AB">
      <w:pPr>
        <w:jc w:val="both"/>
        <w:rPr>
          <w:rFonts w:asciiTheme="minorHAnsi" w:hAnsiTheme="minorHAnsi" w:cstheme="minorHAnsi"/>
          <w:b/>
          <w:bCs/>
          <w:strike/>
          <w:snapToGrid w:val="0"/>
          <w:sz w:val="24"/>
          <w:u w:val="single"/>
        </w:rPr>
      </w:pPr>
      <w:r>
        <w:rPr>
          <w:rFonts w:asciiTheme="minorHAnsi" w:hAnsiTheme="minorHAnsi" w:cstheme="minorHAnsi"/>
          <w:b/>
          <w:bCs/>
          <w:snapToGrid w:val="0"/>
          <w:sz w:val="24"/>
          <w:u w:val="single"/>
        </w:rPr>
        <w:t xml:space="preserve">Elemente de verificare înainte de începerea execuției lucrărilor </w:t>
      </w:r>
    </w:p>
    <w:p w14:paraId="7013B2A1" w14:textId="77777777" w:rsidR="00C27437" w:rsidRDefault="001549AB">
      <w:pPr>
        <w:spacing w:before="0" w:after="0"/>
        <w:jc w:val="both"/>
        <w:rPr>
          <w:rFonts w:asciiTheme="minorHAnsi" w:hAnsiTheme="minorHAnsi" w:cstheme="minorHAnsi"/>
          <w:snapToGrid w:val="0"/>
          <w:sz w:val="24"/>
        </w:rPr>
      </w:pPr>
      <w:r>
        <w:rPr>
          <w:rFonts w:asciiTheme="minorHAnsi" w:hAnsiTheme="minorHAnsi" w:cstheme="minorHAnsi"/>
          <w:snapToGrid w:val="0"/>
          <w:sz w:val="24"/>
        </w:rPr>
        <w:lastRenderedPageBreak/>
        <w:t xml:space="preserve">- asumarea solicitantului privind realizarea acestor măsuri </w:t>
      </w:r>
    </w:p>
    <w:p w14:paraId="3EB8AB5F" w14:textId="77777777" w:rsidR="00C27437" w:rsidRDefault="001549AB">
      <w:pPr>
        <w:spacing w:before="0" w:after="0"/>
        <w:jc w:val="both"/>
        <w:rPr>
          <w:rFonts w:asciiTheme="minorHAnsi" w:hAnsiTheme="minorHAnsi" w:cstheme="minorHAnsi"/>
          <w:snapToGrid w:val="0"/>
          <w:sz w:val="24"/>
        </w:rPr>
      </w:pPr>
      <w:r>
        <w:rPr>
          <w:rFonts w:asciiTheme="minorHAnsi" w:hAnsiTheme="minorHAnsi" w:cstheme="minorHAnsi"/>
          <w:snapToGrid w:val="0"/>
          <w:sz w:val="24"/>
        </w:rPr>
        <w:t>- prevederi în caietele de sarcini pentru elaborarea documentației tehnico-economice (descrierea gestionării deșeurilor, inclusiv a categoriilor care necesită incinerare - deșeuri din construcție, deșeuri rezultate din ambalaje materiale, etc).</w:t>
      </w:r>
    </w:p>
    <w:p w14:paraId="4D93301B" w14:textId="77777777" w:rsidR="00C27437" w:rsidRDefault="001549AB">
      <w:pPr>
        <w:spacing w:after="0"/>
        <w:jc w:val="both"/>
        <w:rPr>
          <w:rFonts w:asciiTheme="minorHAnsi" w:hAnsiTheme="minorHAnsi" w:cstheme="minorHAnsi"/>
          <w:b/>
          <w:bCs/>
          <w:strike/>
          <w:snapToGrid w:val="0"/>
          <w:sz w:val="24"/>
          <w:u w:val="single"/>
        </w:rPr>
      </w:pPr>
      <w:r>
        <w:rPr>
          <w:rFonts w:asciiTheme="minorHAnsi" w:hAnsiTheme="minorHAnsi" w:cstheme="minorHAnsi"/>
          <w:b/>
          <w:bCs/>
          <w:snapToGrid w:val="0"/>
          <w:sz w:val="24"/>
          <w:u w:val="single"/>
        </w:rPr>
        <w:t xml:space="preserve">Elemente de verificare după finalizarea execuției lucrărilor </w:t>
      </w:r>
    </w:p>
    <w:p w14:paraId="22A9586C" w14:textId="77777777" w:rsidR="00C27437" w:rsidRDefault="001549AB">
      <w:pPr>
        <w:spacing w:before="0" w:after="0"/>
        <w:jc w:val="both"/>
        <w:rPr>
          <w:rFonts w:asciiTheme="minorHAnsi" w:hAnsiTheme="minorHAnsi" w:cstheme="minorHAnsi"/>
          <w:snapToGrid w:val="0"/>
          <w:sz w:val="24"/>
          <w:lang w:val="en-US"/>
        </w:rPr>
      </w:pPr>
      <w:r>
        <w:rPr>
          <w:rFonts w:asciiTheme="minorHAnsi" w:hAnsiTheme="minorHAnsi" w:cstheme="minorHAnsi"/>
          <w:snapToGrid w:val="0"/>
          <w:sz w:val="24"/>
        </w:rPr>
        <w:t>- document din care să reiasă tipurile de deșeuri generate din activitățile/lucrările executate și cantitatea acestora</w:t>
      </w:r>
      <w:r>
        <w:rPr>
          <w:rFonts w:asciiTheme="minorHAnsi" w:hAnsiTheme="minorHAnsi" w:cstheme="minorHAnsi"/>
          <w:snapToGrid w:val="0"/>
          <w:sz w:val="24"/>
          <w:lang w:val="en-US"/>
        </w:rPr>
        <w:t>;</w:t>
      </w:r>
    </w:p>
    <w:p w14:paraId="55B1EE31" w14:textId="77777777" w:rsidR="00C27437" w:rsidRDefault="001549AB">
      <w:pPr>
        <w:spacing w:before="0" w:after="0"/>
        <w:jc w:val="both"/>
        <w:rPr>
          <w:rFonts w:asciiTheme="minorHAnsi" w:hAnsiTheme="minorHAnsi" w:cstheme="minorHAnsi"/>
          <w:snapToGrid w:val="0"/>
          <w:sz w:val="24"/>
        </w:rPr>
      </w:pPr>
      <w:r>
        <w:rPr>
          <w:rFonts w:asciiTheme="minorHAnsi" w:hAnsiTheme="minorHAnsi" w:cstheme="minorHAnsi"/>
          <w:sz w:val="24"/>
        </w:rPr>
        <w:t xml:space="preserve">- listele cu cantitățile de lucrări, pe categorii de lucrări, listele cu cantitățile de utilaje și echipamente tehnologice; </w:t>
      </w:r>
    </w:p>
    <w:p w14:paraId="260BA82B" w14:textId="77777777" w:rsidR="00C27437" w:rsidRDefault="001549AB">
      <w:pPr>
        <w:spacing w:before="0" w:after="0"/>
        <w:jc w:val="both"/>
        <w:rPr>
          <w:rFonts w:asciiTheme="minorHAnsi" w:hAnsiTheme="minorHAnsi" w:cstheme="minorHAnsi"/>
          <w:snapToGrid w:val="0"/>
          <w:sz w:val="24"/>
        </w:rPr>
      </w:pPr>
      <w:r>
        <w:rPr>
          <w:rFonts w:asciiTheme="minorHAnsi" w:hAnsiTheme="minorHAnsi" w:cstheme="minorHAnsi"/>
          <w:snapToGrid w:val="0"/>
          <w:sz w:val="24"/>
        </w:rPr>
        <w:t>- contract încheiat cu operator economic care colectează și/sau transportă deșeuri sau care desfășoară operațiuni de valorificare a deșeurilor.</w:t>
      </w:r>
    </w:p>
    <w:p w14:paraId="283F2F59" w14:textId="77777777" w:rsidR="00C27437" w:rsidRDefault="001549AB">
      <w:pPr>
        <w:spacing w:after="0"/>
        <w:jc w:val="both"/>
        <w:rPr>
          <w:rFonts w:asciiTheme="minorHAnsi" w:hAnsiTheme="minorHAnsi" w:cstheme="minorHAnsi"/>
          <w:b/>
          <w:bCs/>
          <w:strike/>
          <w:snapToGrid w:val="0"/>
          <w:sz w:val="24"/>
          <w:u w:val="single"/>
        </w:rPr>
      </w:pPr>
      <w:r>
        <w:rPr>
          <w:rFonts w:asciiTheme="minorHAnsi" w:hAnsiTheme="minorHAnsi" w:cstheme="minorHAnsi"/>
          <w:b/>
          <w:bCs/>
          <w:snapToGrid w:val="0"/>
          <w:sz w:val="24"/>
          <w:u w:val="single"/>
        </w:rPr>
        <w:t xml:space="preserve">Elemente de verificare după finalizarea execuției lucrărilor </w:t>
      </w:r>
    </w:p>
    <w:p w14:paraId="1B0825E0" w14:textId="77777777" w:rsidR="00C27437" w:rsidRDefault="001549AB">
      <w:pPr>
        <w:jc w:val="both"/>
        <w:rPr>
          <w:rFonts w:asciiTheme="minorHAnsi" w:hAnsiTheme="minorHAnsi" w:cstheme="minorHAnsi"/>
          <w:snapToGrid w:val="0"/>
          <w:sz w:val="24"/>
          <w:lang w:val="en-US"/>
        </w:rPr>
      </w:pPr>
      <w:r>
        <w:rPr>
          <w:rFonts w:asciiTheme="minorHAnsi" w:hAnsiTheme="minorHAnsi" w:cstheme="minorHAnsi"/>
          <w:snapToGrid w:val="0"/>
          <w:sz w:val="24"/>
        </w:rPr>
        <w:t>- declarații de performanță pentru produsele pentru construcții, întocmite de producători, sau declarații de conformitate (dacă sunt utilizate produse pentru construcții care fac obiectul unei specificații tehnice nearmonizate) sau agrement tehnic  în construcții (dacă sunt utilizate produse pentru construcții pentru care nu există specificații tehnice armonizate sau specificații tehnice nearmonizate</w:t>
      </w:r>
      <w:r>
        <w:rPr>
          <w:rFonts w:asciiTheme="minorHAnsi" w:hAnsiTheme="minorHAnsi" w:cstheme="minorHAnsi"/>
          <w:snapToGrid w:val="0"/>
          <w:sz w:val="24"/>
          <w:lang w:val="en-US"/>
        </w:rPr>
        <w:t>;</w:t>
      </w:r>
    </w:p>
    <w:tbl>
      <w:tblPr>
        <w:tblW w:w="0" w:type="auto"/>
        <w:tblLook w:val="0000" w:firstRow="0" w:lastRow="0" w:firstColumn="0" w:lastColumn="0" w:noHBand="0" w:noVBand="0"/>
      </w:tblPr>
      <w:tblGrid>
        <w:gridCol w:w="4428"/>
        <w:gridCol w:w="4428"/>
      </w:tblGrid>
      <w:tr w:rsidR="00C27437" w14:paraId="350E4452" w14:textId="77777777">
        <w:trPr>
          <w:trHeight w:val="360"/>
        </w:trPr>
        <w:tc>
          <w:tcPr>
            <w:tcW w:w="4428" w:type="dxa"/>
          </w:tcPr>
          <w:p w14:paraId="22A1D33A" w14:textId="77777777" w:rsidR="00C27437" w:rsidRDefault="001549AB">
            <w:pPr>
              <w:jc w:val="both"/>
              <w:rPr>
                <w:rFonts w:asciiTheme="minorHAnsi" w:hAnsiTheme="minorHAnsi" w:cstheme="minorHAnsi"/>
                <w:sz w:val="24"/>
              </w:rPr>
            </w:pPr>
            <w:r>
              <w:rPr>
                <w:rFonts w:asciiTheme="minorHAnsi" w:hAnsiTheme="minorHAnsi" w:cstheme="minorHAnsi"/>
                <w:sz w:val="24"/>
              </w:rPr>
              <w:t>Data:</w:t>
            </w:r>
          </w:p>
        </w:tc>
        <w:tc>
          <w:tcPr>
            <w:tcW w:w="4428" w:type="dxa"/>
          </w:tcPr>
          <w:p w14:paraId="35310B2C" w14:textId="77777777" w:rsidR="00C27437" w:rsidRDefault="001549AB">
            <w:pPr>
              <w:jc w:val="both"/>
              <w:rPr>
                <w:rFonts w:asciiTheme="minorHAnsi" w:hAnsiTheme="minorHAnsi" w:cstheme="minorHAnsi"/>
                <w:sz w:val="24"/>
              </w:rPr>
            </w:pPr>
            <w:r>
              <w:rPr>
                <w:rFonts w:asciiTheme="minorHAnsi" w:hAnsiTheme="minorHAnsi" w:cstheme="minorHAnsi"/>
                <w:sz w:val="24"/>
              </w:rPr>
              <w:t>Semnătura:</w:t>
            </w:r>
          </w:p>
          <w:p w14:paraId="35866C2E" w14:textId="77777777" w:rsidR="00C27437" w:rsidRDefault="001549AB">
            <w:pPr>
              <w:widowControl w:val="0"/>
              <w:autoSpaceDE w:val="0"/>
              <w:autoSpaceDN w:val="0"/>
              <w:adjustRightInd w:val="0"/>
              <w:spacing w:before="40" w:after="40"/>
              <w:jc w:val="both"/>
              <w:rPr>
                <w:rFonts w:asciiTheme="minorHAnsi" w:hAnsiTheme="minorHAnsi" w:cstheme="minorHAnsi"/>
                <w:i/>
                <w:iCs/>
                <w:sz w:val="24"/>
                <w:lang w:eastAsia="sk-SK"/>
              </w:rPr>
            </w:pPr>
            <w:r>
              <w:rPr>
                <w:rFonts w:asciiTheme="minorHAnsi" w:hAnsiTheme="minorHAnsi" w:cstheme="minorHAnsi"/>
                <w:i/>
                <w:iCs/>
                <w:sz w:val="24"/>
                <w:lang w:eastAsia="sk-SK"/>
              </w:rPr>
              <w:t>Nume, prenume</w:t>
            </w:r>
          </w:p>
          <w:p w14:paraId="00F0E859" w14:textId="77777777" w:rsidR="00C27437" w:rsidRDefault="001549AB">
            <w:pPr>
              <w:widowControl w:val="0"/>
              <w:autoSpaceDE w:val="0"/>
              <w:autoSpaceDN w:val="0"/>
              <w:adjustRightInd w:val="0"/>
              <w:spacing w:before="40" w:after="40"/>
              <w:jc w:val="both"/>
              <w:rPr>
                <w:rFonts w:asciiTheme="minorHAnsi" w:hAnsiTheme="minorHAnsi" w:cstheme="minorHAnsi"/>
                <w:i/>
                <w:iCs/>
                <w:sz w:val="24"/>
                <w:lang w:eastAsia="sk-SK"/>
              </w:rPr>
            </w:pPr>
            <w:r>
              <w:rPr>
                <w:rFonts w:asciiTheme="minorHAnsi" w:hAnsiTheme="minorHAnsi" w:cstheme="minorHAnsi"/>
                <w:i/>
                <w:iCs/>
                <w:sz w:val="24"/>
                <w:lang w:eastAsia="sk-SK"/>
              </w:rPr>
              <w:t>Semnătura reprezentantului legal al solicitantului</w:t>
            </w:r>
          </w:p>
        </w:tc>
      </w:tr>
    </w:tbl>
    <w:p w14:paraId="7F5FDB26" w14:textId="77777777" w:rsidR="00C27437" w:rsidRDefault="00C27437">
      <w:pPr>
        <w:rPr>
          <w:rFonts w:asciiTheme="minorHAnsi" w:hAnsiTheme="minorHAnsi" w:cstheme="minorHAnsi"/>
          <w:sz w:val="24"/>
        </w:rPr>
      </w:pPr>
    </w:p>
    <w:sectPr w:rsidR="00C27437">
      <w:headerReference w:type="even" r:id="rId7"/>
      <w:headerReference w:type="default" r:id="rId8"/>
      <w:footerReference w:type="even" r:id="rId9"/>
      <w:footerReference w:type="default" r:id="rId10"/>
      <w:headerReference w:type="first" r:id="rId11"/>
      <w:footerReference w:type="first" r:id="rId12"/>
      <w:pgSz w:w="11906" w:h="16838" w:code="9"/>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9AFC7D" w14:textId="77777777" w:rsidR="00A24B77" w:rsidRDefault="00A24B77">
      <w:pPr>
        <w:spacing w:before="0" w:after="0"/>
      </w:pPr>
      <w:r>
        <w:separator/>
      </w:r>
    </w:p>
  </w:endnote>
  <w:endnote w:type="continuationSeparator" w:id="0">
    <w:p w14:paraId="07523B73" w14:textId="77777777" w:rsidR="00A24B77" w:rsidRDefault="00A24B7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9160D6" w14:textId="77777777" w:rsidR="00AB7112" w:rsidRDefault="00AB711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9A153" w14:textId="77777777" w:rsidR="00AB7112" w:rsidRDefault="00AB711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22A37" w14:textId="77777777" w:rsidR="00AB7112" w:rsidRDefault="00AB71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68E6D8" w14:textId="77777777" w:rsidR="00A24B77" w:rsidRDefault="00A24B77">
      <w:pPr>
        <w:spacing w:before="0" w:after="0"/>
      </w:pPr>
      <w:r>
        <w:separator/>
      </w:r>
    </w:p>
  </w:footnote>
  <w:footnote w:type="continuationSeparator" w:id="0">
    <w:p w14:paraId="4A67E634" w14:textId="77777777" w:rsidR="00A24B77" w:rsidRDefault="00A24B77">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EB01B6" w14:textId="75FAD891" w:rsidR="00AB7112" w:rsidRDefault="00AB7112">
    <w:pPr>
      <w:pStyle w:val="Header"/>
    </w:pPr>
    <w:r>
      <w:rPr>
        <w:noProof/>
      </w:rPr>
      <w:pict w14:anchorId="7130BE2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1439329" o:spid="_x0000_s1026" type="#_x0000_t136" style="position:absolute;margin-left:0;margin-top:0;width:497.4pt;height:142.1pt;rotation:315;z-index:-251655168;mso-position-horizontal:center;mso-position-horizontal-relative:margin;mso-position-vertical:center;mso-position-vertical-relative:margin" o:allowincell="f" fillcolor="silver" stroked="f">
          <v:fill opacity=".5"/>
          <v:textpath style="font-family:&quot;Trebuchet MS&quot;;font-size:1pt" string="PROIECT"/>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801FA0" w14:textId="3754D1A3" w:rsidR="00727D50" w:rsidRDefault="00AB7112" w:rsidP="00727D50">
    <w:pPr>
      <w:tabs>
        <w:tab w:val="left" w:pos="330"/>
        <w:tab w:val="center" w:pos="4536"/>
        <w:tab w:val="right" w:pos="9072"/>
        <w:tab w:val="right" w:pos="9870"/>
      </w:tabs>
      <w:spacing w:after="0"/>
      <w:rPr>
        <w:rFonts w:asciiTheme="minorHAnsi" w:hAnsiTheme="minorHAnsi" w:cstheme="minorHAnsi"/>
        <w:b/>
        <w:color w:val="333333"/>
        <w:sz w:val="16"/>
        <w:szCs w:val="16"/>
      </w:rPr>
    </w:pPr>
    <w:r>
      <w:rPr>
        <w:noProof/>
      </w:rPr>
      <w:pict w14:anchorId="73419DE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1439330" o:spid="_x0000_s1027" type="#_x0000_t136" style="position:absolute;margin-left:0;margin-top:0;width:497.4pt;height:142.1pt;rotation:315;z-index:-251653120;mso-position-horizontal:center;mso-position-horizontal-relative:margin;mso-position-vertical:center;mso-position-vertical-relative:margin" o:allowincell="f" fillcolor="silver" stroked="f">
          <v:fill opacity=".5"/>
          <v:textpath style="font-family:&quot;Trebuchet MS&quot;;font-size:1pt" string="PROIECT"/>
        </v:shape>
      </w:pict>
    </w:r>
    <w:r w:rsidR="00727D50">
      <w:rPr>
        <w:rFonts w:asciiTheme="minorHAnsi" w:hAnsiTheme="minorHAnsi" w:cstheme="minorHAnsi"/>
        <w:b/>
        <w:color w:val="333333"/>
        <w:sz w:val="16"/>
        <w:szCs w:val="16"/>
      </w:rPr>
      <w:t xml:space="preserve">Planul Național de Redresare și Reziliență </w:t>
    </w:r>
  </w:p>
  <w:p w14:paraId="334A0A87" w14:textId="77777777" w:rsidR="00727D50" w:rsidRDefault="00727D50" w:rsidP="00727D50">
    <w:pPr>
      <w:keepNext/>
      <w:spacing w:before="0" w:after="0"/>
      <w:outlineLvl w:val="7"/>
      <w:rPr>
        <w:rFonts w:asciiTheme="minorHAnsi" w:hAnsiTheme="minorHAnsi" w:cstheme="minorHAnsi"/>
        <w:b/>
        <w:color w:val="333333"/>
        <w:sz w:val="16"/>
        <w:szCs w:val="16"/>
      </w:rPr>
    </w:pPr>
    <w:r>
      <w:rPr>
        <w:rFonts w:asciiTheme="minorHAnsi" w:hAnsiTheme="minorHAnsi" w:cstheme="minorHAnsi"/>
        <w:b/>
        <w:color w:val="333333"/>
        <w:sz w:val="16"/>
        <w:szCs w:val="16"/>
      </w:rPr>
      <w:t xml:space="preserve">Componenta C3 - </w:t>
    </w:r>
    <w:bookmarkStart w:id="1" w:name="_Hlk132965437"/>
    <w:r>
      <w:rPr>
        <w:rFonts w:asciiTheme="minorHAnsi" w:hAnsiTheme="minorHAnsi" w:cstheme="minorHAnsi"/>
        <w:b/>
        <w:color w:val="333333"/>
        <w:sz w:val="16"/>
        <w:szCs w:val="16"/>
      </w:rPr>
      <w:t>Investiția I2</w:t>
    </w:r>
    <w:r w:rsidRPr="00D1015E">
      <w:t xml:space="preserve"> </w:t>
    </w:r>
    <w:r w:rsidRPr="00D1015E">
      <w:rPr>
        <w:rFonts w:asciiTheme="minorHAnsi" w:hAnsiTheme="minorHAnsi" w:cstheme="minorHAnsi"/>
        <w:b/>
        <w:color w:val="333333"/>
        <w:sz w:val="16"/>
        <w:szCs w:val="16"/>
      </w:rPr>
      <w:t>Dezvoltarea infrastructurii pentru managementul gunoiului de grajd și al altor deșeuri agricole compostabile</w:t>
    </w:r>
    <w:r>
      <w:rPr>
        <w:rFonts w:asciiTheme="minorHAnsi" w:hAnsiTheme="minorHAnsi" w:cstheme="minorHAnsi"/>
        <w:b/>
        <w:color w:val="333333"/>
        <w:sz w:val="16"/>
        <w:szCs w:val="16"/>
      </w:rPr>
      <w:t xml:space="preserve"> Subinvestiția I2.A-B. S</w:t>
    </w:r>
    <w:r w:rsidRPr="00D1015E">
      <w:rPr>
        <w:rFonts w:asciiTheme="minorHAnsi" w:hAnsiTheme="minorHAnsi" w:cstheme="minorHAnsi"/>
        <w:b/>
        <w:color w:val="333333"/>
        <w:sz w:val="16"/>
        <w:szCs w:val="16"/>
      </w:rPr>
      <w:t>isteme integrate de colectare și valorificare a gunoiului de grajd</w:t>
    </w:r>
    <w:bookmarkEnd w:id="1"/>
  </w:p>
  <w:p w14:paraId="61308D82" w14:textId="77777777" w:rsidR="00727D50" w:rsidRDefault="00727D50">
    <w:pPr>
      <w:keepNext/>
      <w:spacing w:before="0" w:after="0"/>
      <w:jc w:val="right"/>
      <w:outlineLvl w:val="7"/>
      <w:rPr>
        <w:rFonts w:asciiTheme="minorHAnsi" w:hAnsiTheme="minorHAnsi" w:cstheme="minorHAnsi"/>
        <w:b/>
        <w:bCs/>
        <w:color w:val="333333"/>
        <w:sz w:val="16"/>
      </w:rPr>
    </w:pPr>
  </w:p>
  <w:p w14:paraId="0DD589BB" w14:textId="0015D8F3" w:rsidR="00C27437" w:rsidRDefault="001549AB">
    <w:pPr>
      <w:keepNext/>
      <w:spacing w:before="0" w:after="0"/>
      <w:jc w:val="right"/>
      <w:outlineLvl w:val="7"/>
      <w:rPr>
        <w:rFonts w:asciiTheme="minorHAnsi" w:hAnsiTheme="minorHAnsi" w:cstheme="minorHAnsi"/>
        <w:b/>
        <w:bCs/>
        <w:color w:val="333333"/>
        <w:sz w:val="16"/>
      </w:rPr>
    </w:pPr>
    <w:r>
      <w:rPr>
        <w:rFonts w:asciiTheme="minorHAnsi" w:hAnsiTheme="minorHAnsi" w:cstheme="minorHAnsi"/>
        <w:b/>
        <w:bCs/>
        <w:color w:val="333333"/>
        <w:sz w:val="16"/>
      </w:rPr>
      <w:t>Anexa 5 la Ghidul specific</w:t>
    </w:r>
  </w:p>
  <w:p w14:paraId="54118E85" w14:textId="77777777" w:rsidR="00C27437" w:rsidRDefault="001549AB">
    <w:pPr>
      <w:keepNext/>
      <w:spacing w:before="0" w:after="0"/>
      <w:jc w:val="right"/>
      <w:outlineLvl w:val="7"/>
      <w:rPr>
        <w:rFonts w:asciiTheme="minorHAnsi" w:hAnsiTheme="minorHAnsi" w:cstheme="minorHAnsi"/>
        <w:b/>
        <w:bCs/>
        <w:color w:val="333333"/>
        <w:sz w:val="16"/>
        <w:lang w:val="en-US"/>
      </w:rPr>
    </w:pPr>
    <w:r>
      <w:rPr>
        <w:rFonts w:asciiTheme="minorHAnsi" w:hAnsiTheme="minorHAnsi" w:cstheme="minorHAnsi"/>
        <w:b/>
        <w:bCs/>
        <w:color w:val="333333"/>
        <w:sz w:val="16"/>
      </w:rPr>
      <w:t xml:space="preserve">Model E </w:t>
    </w:r>
  </w:p>
  <w:p w14:paraId="40955803" w14:textId="77777777" w:rsidR="00C27437" w:rsidRDefault="00C2743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BBBE5B" w14:textId="0474BCEF" w:rsidR="00AB7112" w:rsidRDefault="00AB7112">
    <w:pPr>
      <w:pStyle w:val="Header"/>
    </w:pPr>
    <w:r>
      <w:rPr>
        <w:noProof/>
      </w:rPr>
      <w:pict w14:anchorId="5AC64C9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1439328" o:spid="_x0000_s1025" type="#_x0000_t136" style="position:absolute;margin-left:0;margin-top:0;width:497.4pt;height:142.1pt;rotation:315;z-index:-251657216;mso-position-horizontal:center;mso-position-horizontal-relative:margin;mso-position-vertical:center;mso-position-vertical-relative:margin" o:allowincell="f" fillcolor="silver" stroked="f">
          <v:fill opacity=".5"/>
          <v:textpath style="font-family:&quot;Trebuchet MS&quot;;font-size:1pt" string="PROIECT"/>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1E3B16"/>
    <w:multiLevelType w:val="hybridMultilevel"/>
    <w:tmpl w:val="05E217D8"/>
    <w:lvl w:ilvl="0" w:tplc="7C7E78F8">
      <w:numFmt w:val="bullet"/>
      <w:lvlText w:val="-"/>
      <w:lvlJc w:val="left"/>
      <w:pPr>
        <w:ind w:left="1571" w:hanging="360"/>
      </w:pPr>
      <w:rPr>
        <w:rFonts w:ascii="Trebuchet MS" w:eastAsia="Times New Roman" w:hAnsi="Trebuchet MS" w:cs="Aria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 w15:restartNumberingAfterBreak="0">
    <w:nsid w:val="34111FF8"/>
    <w:multiLevelType w:val="hybridMultilevel"/>
    <w:tmpl w:val="2FCAAACC"/>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377C607E"/>
    <w:multiLevelType w:val="hybridMultilevel"/>
    <w:tmpl w:val="D1424E32"/>
    <w:lvl w:ilvl="0" w:tplc="52B081EC">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39DF6615"/>
    <w:multiLevelType w:val="hybridMultilevel"/>
    <w:tmpl w:val="CFE2C518"/>
    <w:lvl w:ilvl="0" w:tplc="0409000B">
      <w:start w:val="1"/>
      <w:numFmt w:val="bullet"/>
      <w:lvlText w:val=""/>
      <w:lvlJc w:val="left"/>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29870BF"/>
    <w:multiLevelType w:val="hybridMultilevel"/>
    <w:tmpl w:val="781C3D7A"/>
    <w:lvl w:ilvl="0" w:tplc="8B828BB2">
      <w:start w:val="1"/>
      <w:numFmt w:val="bullet"/>
      <w:lvlText w:val="-"/>
      <w:lvlJc w:val="left"/>
      <w:pPr>
        <w:ind w:left="720" w:hanging="360"/>
      </w:pPr>
      <w:rPr>
        <w:rFonts w:ascii="Times New Roman" w:eastAsia="Arial"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5C1E2DD8"/>
    <w:multiLevelType w:val="hybridMultilevel"/>
    <w:tmpl w:val="30B01A62"/>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5CE57862"/>
    <w:multiLevelType w:val="hybridMultilevel"/>
    <w:tmpl w:val="28D49460"/>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64BF45A5"/>
    <w:multiLevelType w:val="hybridMultilevel"/>
    <w:tmpl w:val="1F6261DA"/>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68FF540B"/>
    <w:multiLevelType w:val="hybridMultilevel"/>
    <w:tmpl w:val="E92AB2C0"/>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7AAC6890"/>
    <w:multiLevelType w:val="hybridMultilevel"/>
    <w:tmpl w:val="6EFE5E00"/>
    <w:lvl w:ilvl="0" w:tplc="BD7A7224">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279916148">
    <w:abstractNumId w:val="0"/>
  </w:num>
  <w:num w:numId="2" w16cid:durableId="1915435720">
    <w:abstractNumId w:val="3"/>
  </w:num>
  <w:num w:numId="3" w16cid:durableId="354891553">
    <w:abstractNumId w:val="5"/>
  </w:num>
  <w:num w:numId="4" w16cid:durableId="1335719239">
    <w:abstractNumId w:val="4"/>
  </w:num>
  <w:num w:numId="5" w16cid:durableId="1756127351">
    <w:abstractNumId w:val="1"/>
  </w:num>
  <w:num w:numId="6" w16cid:durableId="1537889039">
    <w:abstractNumId w:val="7"/>
  </w:num>
  <w:num w:numId="7" w16cid:durableId="788623595">
    <w:abstractNumId w:val="8"/>
  </w:num>
  <w:num w:numId="8" w16cid:durableId="302463335">
    <w:abstractNumId w:val="6"/>
  </w:num>
  <w:num w:numId="9" w16cid:durableId="2093577783">
    <w:abstractNumId w:val="9"/>
  </w:num>
  <w:num w:numId="10" w16cid:durableId="170193616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7437"/>
    <w:rsid w:val="001549AB"/>
    <w:rsid w:val="00445048"/>
    <w:rsid w:val="00727D50"/>
    <w:rsid w:val="00786E75"/>
    <w:rsid w:val="008E58C0"/>
    <w:rsid w:val="00A24B77"/>
    <w:rsid w:val="00AB7112"/>
    <w:rsid w:val="00B34ABD"/>
    <w:rsid w:val="00C27437"/>
    <w:rsid w:val="00D01AD0"/>
    <w:rsid w:val="00D332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A34918"/>
  <w15:chartTrackingRefBased/>
  <w15:docId w15:val="{4B52F3A2-1A77-448C-9792-B0BA9C55B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line="240" w:lineRule="auto"/>
    </w:pPr>
    <w:rPr>
      <w:rFonts w:ascii="Trebuchet MS" w:eastAsia="Times New Roman" w:hAnsi="Trebuchet MS" w:cs="Times New Roman"/>
      <w:sz w:val="20"/>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
    <w:name w:val="bullet"/>
    <w:basedOn w:val="Normal"/>
    <w:pPr>
      <w:jc w:val="both"/>
    </w:pPr>
    <w:rPr>
      <w:rFonts w:cs="Arial"/>
    </w:rPr>
  </w:style>
  <w:style w:type="paragraph" w:styleId="ListParagraph">
    <w:name w:val="List Paragraph"/>
    <w:basedOn w:val="Normal"/>
    <w:uiPriority w:val="34"/>
    <w:qFormat/>
    <w:pPr>
      <w:ind w:left="720"/>
      <w:contextualSpacing/>
    </w:pPr>
  </w:style>
  <w:style w:type="paragraph" w:customStyle="1" w:styleId="instruct">
    <w:name w:val="instruct"/>
    <w:basedOn w:val="Normal"/>
    <w:pPr>
      <w:widowControl w:val="0"/>
      <w:autoSpaceDE w:val="0"/>
      <w:autoSpaceDN w:val="0"/>
      <w:adjustRightInd w:val="0"/>
      <w:spacing w:before="40" w:after="40"/>
    </w:pPr>
    <w:rPr>
      <w:rFonts w:cs="Arial"/>
      <w:i/>
      <w:iCs/>
      <w:szCs w:val="21"/>
      <w:lang w:eastAsia="sk-SK"/>
    </w:rPr>
  </w:style>
  <w:style w:type="paragraph" w:styleId="Header">
    <w:name w:val="header"/>
    <w:basedOn w:val="Normal"/>
    <w:link w:val="HeaderChar"/>
    <w:unhideWhenUsed/>
    <w:pPr>
      <w:tabs>
        <w:tab w:val="center" w:pos="4703"/>
        <w:tab w:val="right" w:pos="9406"/>
      </w:tabs>
      <w:spacing w:before="0" w:after="0"/>
    </w:pPr>
  </w:style>
  <w:style w:type="character" w:customStyle="1" w:styleId="HeaderChar">
    <w:name w:val="Header Char"/>
    <w:basedOn w:val="DefaultParagraphFont"/>
    <w:link w:val="Header"/>
    <w:rPr>
      <w:rFonts w:ascii="Trebuchet MS" w:eastAsia="Times New Roman" w:hAnsi="Trebuchet MS" w:cs="Times New Roman"/>
      <w:sz w:val="20"/>
      <w:szCs w:val="24"/>
      <w:lang w:val="ro-RO"/>
    </w:rPr>
  </w:style>
  <w:style w:type="paragraph" w:customStyle="1" w:styleId="Default">
    <w:name w:val="Default"/>
    <w:pPr>
      <w:autoSpaceDE w:val="0"/>
      <w:autoSpaceDN w:val="0"/>
      <w:adjustRightInd w:val="0"/>
      <w:spacing w:after="0" w:line="240" w:lineRule="auto"/>
    </w:pPr>
    <w:rPr>
      <w:rFonts w:ascii="Times New Roman" w:hAnsi="Times New Roman" w:cs="Times New Roman"/>
      <w:color w:val="000000"/>
      <w:sz w:val="24"/>
      <w:szCs w:val="24"/>
      <w:lang w:val="ro-RO"/>
    </w:rPr>
  </w:style>
  <w:style w:type="paragraph" w:styleId="Footer">
    <w:name w:val="footer"/>
    <w:basedOn w:val="Normal"/>
    <w:link w:val="FooterChar"/>
    <w:uiPriority w:val="99"/>
    <w:unhideWhenUsed/>
    <w:pPr>
      <w:tabs>
        <w:tab w:val="center" w:pos="4513"/>
        <w:tab w:val="right" w:pos="9026"/>
      </w:tabs>
      <w:spacing w:before="0" w:after="0"/>
    </w:pPr>
  </w:style>
  <w:style w:type="character" w:customStyle="1" w:styleId="FooterChar">
    <w:name w:val="Footer Char"/>
    <w:basedOn w:val="DefaultParagraphFont"/>
    <w:link w:val="Footer"/>
    <w:uiPriority w:val="99"/>
    <w:rPr>
      <w:rFonts w:ascii="Trebuchet MS" w:eastAsia="Times New Roman" w:hAnsi="Trebuchet MS" w:cs="Times New Roman"/>
      <w:sz w:val="20"/>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299</TotalTime>
  <Pages>8</Pages>
  <Words>3454</Words>
  <Characters>20036</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Roxana.Anghel</dc:creator>
  <cp:keywords/>
  <dc:description/>
  <cp:lastModifiedBy>Adrian STEFANESCU</cp:lastModifiedBy>
  <cp:revision>30</cp:revision>
  <cp:lastPrinted>2022-09-05T07:28:00Z</cp:lastPrinted>
  <dcterms:created xsi:type="dcterms:W3CDTF">2022-03-21T13:48:00Z</dcterms:created>
  <dcterms:modified xsi:type="dcterms:W3CDTF">2023-05-05T07:44:00Z</dcterms:modified>
</cp:coreProperties>
</file>